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C6AAA" w14:textId="77777777" w:rsidR="001F01EE" w:rsidRDefault="00000000">
      <w:pPr>
        <w:spacing w:after="440"/>
      </w:pPr>
      <w:r>
        <w:rPr>
          <w:noProof/>
        </w:rPr>
        <w:drawing>
          <wp:inline distT="0" distB="0" distL="0" distR="0" wp14:anchorId="7516869B" wp14:editId="7C36DC72">
            <wp:extent cx="1691640" cy="10149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s-logo-name-primary.png"/>
                    <pic:cNvPicPr/>
                  </pic:nvPicPr>
                  <pic:blipFill>
                    <a:blip r:embed="rId8"/>
                    <a:stretch>
                      <a:fillRect/>
                    </a:stretch>
                  </pic:blipFill>
                  <pic:spPr>
                    <a:xfrm>
                      <a:off x="0" y="0"/>
                      <a:ext cx="1691640" cy="1014984"/>
                    </a:xfrm>
                    <a:prstGeom prst="rect">
                      <a:avLst/>
                    </a:prstGeom>
                  </pic:spPr>
                </pic:pic>
              </a:graphicData>
            </a:graphic>
          </wp:inline>
        </w:drawing>
      </w:r>
    </w:p>
    <w:p w14:paraId="5EB4E3D5" w14:textId="77777777" w:rsidR="001F01EE" w:rsidRDefault="00000000">
      <w:pPr>
        <w:spacing w:after="0"/>
      </w:pPr>
      <w:r>
        <w:rPr>
          <w:b/>
          <w:color w:val="DB0934"/>
          <w:sz w:val="26"/>
        </w:rPr>
        <w:t>ATPL Flight Planning</w:t>
      </w:r>
    </w:p>
    <w:p w14:paraId="5C9547C1" w14:textId="77777777" w:rsidR="001F01EE" w:rsidRDefault="00000000">
      <w:pPr>
        <w:spacing w:after="80"/>
      </w:pPr>
      <w:r>
        <w:rPr>
          <w:b/>
          <w:sz w:val="56"/>
        </w:rPr>
        <w:t>Exam Feedback Summary</w:t>
      </w:r>
    </w:p>
    <w:p w14:paraId="65EEAE19" w14:textId="77777777" w:rsidR="001F01EE" w:rsidRDefault="00000000">
      <w:pPr>
        <w:spacing w:after="280"/>
      </w:pPr>
      <w:r>
        <w:rPr>
          <w:sz w:val="23"/>
        </w:rPr>
        <w:t>Official interpreted summary of recent student reports</w:t>
      </w:r>
    </w:p>
    <w:p w14:paraId="1099E002" w14:textId="77777777" w:rsidR="001F01EE" w:rsidRDefault="001F01EE">
      <w:pPr>
        <w:pBdr>
          <w:bottom w:val="single" w:sz="18" w:space="6" w:color="DB0934"/>
        </w:pBdr>
      </w:pPr>
    </w:p>
    <w:tbl>
      <w:tblPr>
        <w:tblW w:w="3800" w:type="pct"/>
        <w:tblLayout w:type="fixed"/>
        <w:tblLook w:val="04A0" w:firstRow="1" w:lastRow="0" w:firstColumn="1" w:lastColumn="0" w:noHBand="0" w:noVBand="1"/>
      </w:tblPr>
      <w:tblGrid>
        <w:gridCol w:w="3955"/>
        <w:gridCol w:w="3955"/>
      </w:tblGrid>
      <w:tr w:rsidR="001F01EE" w14:paraId="5F521483" w14:textId="77777777">
        <w:tc>
          <w:tcPr>
            <w:tcW w:w="1944" w:type="dxa"/>
            <w:tcBorders>
              <w:top w:val="single" w:sz="6" w:space="0" w:color="D9D9D9"/>
              <w:left w:val="nil"/>
              <w:bottom w:val="single" w:sz="6" w:space="0" w:color="D9D9D9"/>
              <w:right w:val="nil"/>
            </w:tcBorders>
            <w:shd w:val="clear" w:color="auto" w:fill="F6F6F6"/>
            <w:tcMar>
              <w:top w:w="110" w:type="dxa"/>
              <w:left w:w="130" w:type="dxa"/>
              <w:bottom w:w="110" w:type="dxa"/>
              <w:right w:w="130" w:type="dxa"/>
            </w:tcMar>
            <w:vAlign w:val="center"/>
          </w:tcPr>
          <w:p w14:paraId="7A3367EB" w14:textId="77777777" w:rsidR="001F01EE" w:rsidRDefault="00000000">
            <w:r>
              <w:rPr>
                <w:b/>
                <w:sz w:val="17"/>
              </w:rPr>
              <w:t>Data set</w:t>
            </w:r>
          </w:p>
        </w:tc>
        <w:tc>
          <w:tcPr>
            <w:tcW w:w="4824" w:type="dxa"/>
            <w:tcBorders>
              <w:top w:val="single" w:sz="6" w:space="0" w:color="D9D9D9"/>
              <w:left w:val="nil"/>
              <w:bottom w:val="single" w:sz="6" w:space="0" w:color="D9D9D9"/>
              <w:right w:val="nil"/>
            </w:tcBorders>
            <w:tcMar>
              <w:top w:w="110" w:type="dxa"/>
              <w:left w:w="130" w:type="dxa"/>
              <w:bottom w:w="110" w:type="dxa"/>
              <w:right w:w="130" w:type="dxa"/>
            </w:tcMar>
            <w:vAlign w:val="center"/>
          </w:tcPr>
          <w:p w14:paraId="21268F3E" w14:textId="77777777" w:rsidR="001F01EE" w:rsidRDefault="00000000">
            <w:r>
              <w:t>155 reports</w:t>
            </w:r>
          </w:p>
        </w:tc>
      </w:tr>
      <w:tr w:rsidR="001F01EE" w14:paraId="755B70C9" w14:textId="77777777">
        <w:tc>
          <w:tcPr>
            <w:tcW w:w="5074" w:type="dxa"/>
            <w:tcBorders>
              <w:top w:val="single" w:sz="6" w:space="0" w:color="D9D9D9"/>
              <w:left w:val="nil"/>
              <w:bottom w:val="single" w:sz="6" w:space="0" w:color="D9D9D9"/>
              <w:right w:val="nil"/>
            </w:tcBorders>
            <w:shd w:val="clear" w:color="auto" w:fill="F6F6F6"/>
            <w:tcMar>
              <w:top w:w="110" w:type="dxa"/>
              <w:left w:w="130" w:type="dxa"/>
              <w:bottom w:w="110" w:type="dxa"/>
              <w:right w:w="130" w:type="dxa"/>
            </w:tcMar>
            <w:vAlign w:val="center"/>
          </w:tcPr>
          <w:p w14:paraId="6AE9E15E" w14:textId="77777777" w:rsidR="001F01EE" w:rsidRDefault="00000000">
            <w:r>
              <w:rPr>
                <w:b/>
                <w:sz w:val="17"/>
              </w:rPr>
              <w:t>Date range</w:t>
            </w:r>
          </w:p>
        </w:tc>
        <w:tc>
          <w:tcPr>
            <w:tcW w:w="5074" w:type="dxa"/>
            <w:tcBorders>
              <w:top w:val="single" w:sz="6" w:space="0" w:color="D9D9D9"/>
              <w:left w:val="nil"/>
              <w:bottom w:val="single" w:sz="6" w:space="0" w:color="D9D9D9"/>
              <w:right w:val="nil"/>
            </w:tcBorders>
            <w:tcMar>
              <w:top w:w="110" w:type="dxa"/>
              <w:left w:w="130" w:type="dxa"/>
              <w:bottom w:w="110" w:type="dxa"/>
              <w:right w:w="130" w:type="dxa"/>
            </w:tcMar>
            <w:vAlign w:val="center"/>
          </w:tcPr>
          <w:p w14:paraId="2977D60D" w14:textId="77777777" w:rsidR="001F01EE" w:rsidRDefault="00000000">
            <w:r>
              <w:t>12 Jan 2026 to 17 Jun 2026</w:t>
            </w:r>
          </w:p>
        </w:tc>
      </w:tr>
      <w:tr w:rsidR="001F01EE" w14:paraId="2B616A67" w14:textId="77777777">
        <w:tc>
          <w:tcPr>
            <w:tcW w:w="5074" w:type="dxa"/>
            <w:tcBorders>
              <w:top w:val="single" w:sz="6" w:space="0" w:color="D9D9D9"/>
              <w:left w:val="nil"/>
              <w:bottom w:val="single" w:sz="6" w:space="0" w:color="D9D9D9"/>
              <w:right w:val="nil"/>
            </w:tcBorders>
            <w:shd w:val="clear" w:color="auto" w:fill="F6F6F6"/>
            <w:tcMar>
              <w:top w:w="110" w:type="dxa"/>
              <w:left w:w="130" w:type="dxa"/>
              <w:bottom w:w="110" w:type="dxa"/>
              <w:right w:w="130" w:type="dxa"/>
            </w:tcMar>
            <w:vAlign w:val="center"/>
          </w:tcPr>
          <w:p w14:paraId="5002B479" w14:textId="77777777" w:rsidR="001F01EE" w:rsidRDefault="00000000">
            <w:r>
              <w:rPr>
                <w:b/>
                <w:sz w:val="17"/>
              </w:rPr>
              <w:t>Scope</w:t>
            </w:r>
          </w:p>
        </w:tc>
        <w:tc>
          <w:tcPr>
            <w:tcW w:w="5074" w:type="dxa"/>
            <w:tcBorders>
              <w:top w:val="single" w:sz="6" w:space="0" w:color="D9D9D9"/>
              <w:left w:val="nil"/>
              <w:bottom w:val="single" w:sz="6" w:space="0" w:color="D9D9D9"/>
              <w:right w:val="nil"/>
            </w:tcBorders>
            <w:tcMar>
              <w:top w:w="110" w:type="dxa"/>
              <w:left w:w="130" w:type="dxa"/>
              <w:bottom w:w="110" w:type="dxa"/>
              <w:right w:w="130" w:type="dxa"/>
            </w:tcMar>
            <w:vAlign w:val="center"/>
          </w:tcPr>
          <w:p w14:paraId="12D25DB3" w14:textId="77777777" w:rsidR="001F01EE" w:rsidRDefault="00000000">
            <w:r>
              <w:t>Descriptive analysis only</w:t>
            </w:r>
          </w:p>
        </w:tc>
      </w:tr>
    </w:tbl>
    <w:p w14:paraId="533BCB1B" w14:textId="77777777" w:rsidR="001F01EE" w:rsidRDefault="001F01EE"/>
    <w:p w14:paraId="4B5D9FE9" w14:textId="77777777" w:rsidR="00377EB0" w:rsidRPr="00377EB0" w:rsidRDefault="00377EB0" w:rsidP="00377EB0">
      <w:pPr>
        <w:spacing w:after="240" w:line="264" w:lineRule="auto"/>
        <w:rPr>
          <w:sz w:val="20"/>
        </w:rPr>
      </w:pPr>
      <w:r w:rsidRPr="00377EB0">
        <w:rPr>
          <w:sz w:val="20"/>
        </w:rPr>
        <w:t xml:space="preserve">This report gives upcoming candidates a clearer understanding of how previous students described their Flight Planning exam experience. It </w:t>
      </w:r>
      <w:proofErr w:type="spellStart"/>
      <w:r w:rsidRPr="00377EB0">
        <w:rPr>
          <w:sz w:val="20"/>
        </w:rPr>
        <w:t>summarises</w:t>
      </w:r>
      <w:proofErr w:type="spellEnd"/>
      <w:r w:rsidRPr="00377EB0">
        <w:rPr>
          <w:sz w:val="20"/>
        </w:rPr>
        <w:t xml:space="preserve"> free-text feedback submitted by students, who were able to comment openly on what they encountered in the exam.</w:t>
      </w:r>
    </w:p>
    <w:tbl>
      <w:tblPr>
        <w:tblW w:w="5000" w:type="pct"/>
        <w:jc w:val="center"/>
        <w:tblLook w:val="04A0" w:firstRow="1" w:lastRow="0" w:firstColumn="1" w:lastColumn="0" w:noHBand="0" w:noVBand="1"/>
      </w:tblPr>
      <w:tblGrid>
        <w:gridCol w:w="10528"/>
      </w:tblGrid>
      <w:tr w:rsidR="001F01EE" w14:paraId="1CF00162" w14:textId="77777777">
        <w:trPr>
          <w:jc w:val="center"/>
        </w:trPr>
        <w:tc>
          <w:tcPr>
            <w:tcW w:w="10148" w:type="dxa"/>
            <w:tcBorders>
              <w:top w:val="single" w:sz="6" w:space="0" w:color="E6E6E6"/>
              <w:left w:val="single" w:sz="24" w:space="0" w:color="DB0934"/>
              <w:bottom w:val="single" w:sz="6" w:space="0" w:color="E6E6E6"/>
              <w:right w:val="single" w:sz="6" w:space="0" w:color="E6E6E6"/>
            </w:tcBorders>
            <w:shd w:val="clear" w:color="auto" w:fill="FAFAFA"/>
            <w:tcMar>
              <w:top w:w="150" w:type="dxa"/>
              <w:left w:w="190" w:type="dxa"/>
              <w:bottom w:w="150" w:type="dxa"/>
              <w:right w:w="190" w:type="dxa"/>
            </w:tcMar>
          </w:tcPr>
          <w:p w14:paraId="688809E9" w14:textId="77777777" w:rsidR="001F01EE" w:rsidRDefault="00000000">
            <w:pPr>
              <w:spacing w:after="80"/>
            </w:pPr>
            <w:r>
              <w:rPr>
                <w:b/>
                <w:color w:val="DB0934"/>
                <w:sz w:val="20"/>
              </w:rPr>
              <w:t>A note of caution</w:t>
            </w:r>
          </w:p>
          <w:p w14:paraId="45F1237C" w14:textId="77777777" w:rsidR="001F01EE" w:rsidRPr="00377EB0" w:rsidRDefault="00000000">
            <w:pPr>
              <w:spacing w:after="80" w:line="252" w:lineRule="auto"/>
              <w:rPr>
                <w:b/>
                <w:bCs/>
              </w:rPr>
            </w:pPr>
            <w:r w:rsidRPr="00377EB0">
              <w:rPr>
                <w:sz w:val="17"/>
              </w:rPr>
              <w:t>This report shows what previous students chose to mention after their exam</w:t>
            </w:r>
            <w:r w:rsidRPr="00377EB0">
              <w:rPr>
                <w:b/>
                <w:bCs/>
                <w:sz w:val="17"/>
              </w:rPr>
              <w:t xml:space="preserve">. It does not show what will appear in a future exam, how often topics </w:t>
            </w:r>
            <w:proofErr w:type="gramStart"/>
            <w:r w:rsidRPr="00377EB0">
              <w:rPr>
                <w:b/>
                <w:bCs/>
                <w:sz w:val="17"/>
              </w:rPr>
              <w:t>appeared</w:t>
            </w:r>
            <w:proofErr w:type="gramEnd"/>
            <w:r w:rsidRPr="00377EB0">
              <w:rPr>
                <w:b/>
                <w:bCs/>
                <w:sz w:val="17"/>
              </w:rPr>
              <w:t xml:space="preserve"> in the actual exam, or whether any </w:t>
            </w:r>
            <w:proofErr w:type="gramStart"/>
            <w:r w:rsidRPr="00377EB0">
              <w:rPr>
                <w:b/>
                <w:bCs/>
                <w:sz w:val="17"/>
              </w:rPr>
              <w:t>particular preparation</w:t>
            </w:r>
            <w:proofErr w:type="gramEnd"/>
            <w:r w:rsidRPr="00377EB0">
              <w:rPr>
                <w:b/>
                <w:bCs/>
                <w:sz w:val="17"/>
              </w:rPr>
              <w:t xml:space="preserve"> strategy is sufficient.</w:t>
            </w:r>
          </w:p>
          <w:p w14:paraId="4EEB1ED8" w14:textId="77777777" w:rsidR="001F01EE" w:rsidRDefault="00000000">
            <w:pPr>
              <w:spacing w:after="80" w:line="252" w:lineRule="auto"/>
            </w:pPr>
            <w:r>
              <w:rPr>
                <w:sz w:val="17"/>
              </w:rPr>
              <w:t>Because the data comes from free-text feedback, the absence of a particular theme should not be treated as absence from the exam. A topic may have appeared in a student’s exam but not been mentioned in their feedback, or it may not have stood out compared with other aspects of the paper.</w:t>
            </w:r>
          </w:p>
          <w:p w14:paraId="3FD1FD66" w14:textId="77777777" w:rsidR="001F01EE" w:rsidRDefault="00000000">
            <w:pPr>
              <w:spacing w:after="80" w:line="252" w:lineRule="auto"/>
              <w:rPr>
                <w:sz w:val="17"/>
              </w:rPr>
            </w:pPr>
            <w:r>
              <w:rPr>
                <w:sz w:val="17"/>
              </w:rPr>
              <w:t>A high number of mentions should be read as a sign that the topic stood out in the feedback, not as a conclusion by itself. For example, bank familiarity or unfamiliarity was mentioned in 94% of reports. This shows that the topic was widely discussed in the feedback, but it does not, by itself, indicate how closely the exams matched question-bank material. That point is better judged by the similarity percentages reported by students.</w:t>
            </w:r>
          </w:p>
          <w:p w14:paraId="05983ED6" w14:textId="77777777" w:rsidR="00377EB0" w:rsidRDefault="00377EB0">
            <w:pPr>
              <w:spacing w:after="80" w:line="252" w:lineRule="auto"/>
              <w:rPr>
                <w:sz w:val="17"/>
              </w:rPr>
            </w:pPr>
          </w:p>
          <w:p w14:paraId="2D0B134B" w14:textId="6C3BC78C" w:rsidR="00377EB0" w:rsidRPr="00377EB0" w:rsidRDefault="00377EB0">
            <w:pPr>
              <w:spacing w:after="80" w:line="252" w:lineRule="auto"/>
              <w:rPr>
                <w:b/>
                <w:bCs/>
              </w:rPr>
            </w:pPr>
          </w:p>
        </w:tc>
      </w:tr>
    </w:tbl>
    <w:p w14:paraId="3E71DDF9" w14:textId="77777777" w:rsidR="001F01EE" w:rsidRDefault="00000000">
      <w:r>
        <w:br w:type="page"/>
      </w:r>
    </w:p>
    <w:p w14:paraId="315D7D56" w14:textId="77777777" w:rsidR="001F01EE" w:rsidRDefault="00000000">
      <w:pPr>
        <w:pStyle w:val="Heading1"/>
        <w:spacing w:before="0" w:after="100"/>
      </w:pPr>
      <w:r>
        <w:rPr>
          <w:rFonts w:ascii="Arial" w:eastAsia="Arial" w:hAnsi="Arial"/>
        </w:rPr>
        <w:lastRenderedPageBreak/>
        <w:t>Summary table</w:t>
      </w:r>
    </w:p>
    <w:p w14:paraId="6A9E2AF3" w14:textId="77777777" w:rsidR="001F01EE" w:rsidRDefault="00000000">
      <w:pPr>
        <w:pStyle w:val="Heading2"/>
        <w:pBdr>
          <w:bottom w:val="single" w:sz="18" w:space="6" w:color="DB0934"/>
        </w:pBdr>
      </w:pPr>
      <w:r>
        <w:rPr>
          <w:rFonts w:ascii="Arial" w:eastAsia="Arial" w:hAnsi="Arial"/>
        </w:rPr>
        <w:t>Overall patterns across the feedback</w:t>
      </w:r>
    </w:p>
    <w:tbl>
      <w:tblPr>
        <w:tblW w:w="5000" w:type="pct"/>
        <w:jc w:val="center"/>
        <w:tblLayout w:type="fixed"/>
        <w:tblLook w:val="04A0" w:firstRow="1" w:lastRow="0" w:firstColumn="1" w:lastColumn="0" w:noHBand="0" w:noVBand="1"/>
      </w:tblPr>
      <w:tblGrid>
        <w:gridCol w:w="3023"/>
        <w:gridCol w:w="1115"/>
        <w:gridCol w:w="6230"/>
      </w:tblGrid>
      <w:tr w:rsidR="001F01EE" w14:paraId="40BA87D4" w14:textId="77777777">
        <w:trPr>
          <w:cantSplit/>
          <w:tblHeader/>
          <w:jc w:val="center"/>
        </w:trPr>
        <w:tc>
          <w:tcPr>
            <w:tcW w:w="2808" w:type="dxa"/>
            <w:tcBorders>
              <w:top w:val="single" w:sz="6" w:space="0" w:color="424242"/>
              <w:left w:val="nil"/>
              <w:bottom w:val="single" w:sz="8" w:space="0" w:color="DB0934"/>
              <w:right w:val="nil"/>
            </w:tcBorders>
            <w:shd w:val="clear" w:color="auto" w:fill="424242"/>
            <w:tcMar>
              <w:top w:w="105" w:type="dxa"/>
              <w:left w:w="110" w:type="dxa"/>
              <w:bottom w:w="105" w:type="dxa"/>
              <w:right w:w="110" w:type="dxa"/>
            </w:tcMar>
          </w:tcPr>
          <w:p w14:paraId="50E29CE5" w14:textId="77777777" w:rsidR="001F01EE" w:rsidRDefault="00000000">
            <w:r>
              <w:rPr>
                <w:b/>
                <w:color w:val="FFFFFF"/>
                <w:sz w:val="15"/>
              </w:rPr>
              <w:t>AREA / FINDING</w:t>
            </w:r>
          </w:p>
        </w:tc>
        <w:tc>
          <w:tcPr>
            <w:tcW w:w="1036" w:type="dxa"/>
            <w:tcBorders>
              <w:top w:val="single" w:sz="6" w:space="0" w:color="424242"/>
              <w:left w:val="nil"/>
              <w:bottom w:val="single" w:sz="8" w:space="0" w:color="DB0934"/>
              <w:right w:val="nil"/>
            </w:tcBorders>
            <w:shd w:val="clear" w:color="auto" w:fill="424242"/>
            <w:tcMar>
              <w:top w:w="105" w:type="dxa"/>
              <w:left w:w="110" w:type="dxa"/>
              <w:bottom w:w="105" w:type="dxa"/>
              <w:right w:w="110" w:type="dxa"/>
            </w:tcMar>
          </w:tcPr>
          <w:p w14:paraId="20A9D742" w14:textId="77777777" w:rsidR="001F01EE" w:rsidRDefault="00000000">
            <w:pPr>
              <w:jc w:val="center"/>
            </w:pPr>
            <w:r>
              <w:rPr>
                <w:b/>
                <w:color w:val="FFFFFF"/>
                <w:sz w:val="15"/>
              </w:rPr>
              <w:t>SHARE</w:t>
            </w:r>
          </w:p>
        </w:tc>
        <w:tc>
          <w:tcPr>
            <w:tcW w:w="5788" w:type="dxa"/>
            <w:tcBorders>
              <w:top w:val="single" w:sz="6" w:space="0" w:color="424242"/>
              <w:left w:val="nil"/>
              <w:bottom w:val="single" w:sz="8" w:space="0" w:color="DB0934"/>
              <w:right w:val="nil"/>
            </w:tcBorders>
            <w:shd w:val="clear" w:color="auto" w:fill="424242"/>
            <w:tcMar>
              <w:top w:w="105" w:type="dxa"/>
              <w:left w:w="110" w:type="dxa"/>
              <w:bottom w:w="105" w:type="dxa"/>
              <w:right w:w="110" w:type="dxa"/>
            </w:tcMar>
          </w:tcPr>
          <w:p w14:paraId="2EB3BF31" w14:textId="77777777" w:rsidR="001F01EE" w:rsidRDefault="00000000">
            <w:r>
              <w:rPr>
                <w:b/>
                <w:color w:val="FFFFFF"/>
                <w:sz w:val="15"/>
              </w:rPr>
              <w:t>INTERPRETATION</w:t>
            </w:r>
          </w:p>
        </w:tc>
      </w:tr>
      <w:tr w:rsidR="001F01EE" w14:paraId="6385C87D" w14:textId="77777777">
        <w:trPr>
          <w:cantSplit/>
          <w:jc w:val="center"/>
        </w:trPr>
        <w:tc>
          <w:tcPr>
            <w:tcW w:w="2808" w:type="dxa"/>
            <w:tcBorders>
              <w:top w:val="single" w:sz="4" w:space="0" w:color="EFEFEF"/>
              <w:left w:val="nil"/>
              <w:bottom w:val="single" w:sz="4" w:space="0" w:color="EFEFEF"/>
              <w:right w:val="nil"/>
            </w:tcBorders>
            <w:shd w:val="clear" w:color="auto" w:fill="FFFFFF"/>
            <w:tcMar>
              <w:top w:w="95" w:type="dxa"/>
              <w:left w:w="110" w:type="dxa"/>
              <w:bottom w:w="95" w:type="dxa"/>
              <w:right w:w="110" w:type="dxa"/>
            </w:tcMar>
          </w:tcPr>
          <w:p w14:paraId="4EF99F5D" w14:textId="77777777" w:rsidR="001F01EE" w:rsidRDefault="00000000">
            <w:r>
              <w:rPr>
                <w:b/>
                <w:sz w:val="17"/>
              </w:rPr>
              <w:t>Question-bank familiarity or unfamiliarity</w:t>
            </w:r>
          </w:p>
        </w:tc>
        <w:tc>
          <w:tcPr>
            <w:tcW w:w="1036" w:type="dxa"/>
            <w:tcBorders>
              <w:top w:val="single" w:sz="4" w:space="0" w:color="EFEFEF"/>
              <w:left w:val="nil"/>
              <w:bottom w:val="single" w:sz="4" w:space="0" w:color="EFEFEF"/>
              <w:right w:val="nil"/>
            </w:tcBorders>
            <w:shd w:val="clear" w:color="auto" w:fill="FFFFFF"/>
            <w:tcMar>
              <w:top w:w="95" w:type="dxa"/>
              <w:left w:w="110" w:type="dxa"/>
              <w:bottom w:w="95" w:type="dxa"/>
              <w:right w:w="110" w:type="dxa"/>
            </w:tcMar>
          </w:tcPr>
          <w:p w14:paraId="59639A56" w14:textId="77777777" w:rsidR="001F01EE" w:rsidRDefault="00000000">
            <w:pPr>
              <w:jc w:val="center"/>
            </w:pPr>
            <w:r>
              <w:rPr>
                <w:b/>
                <w:color w:val="DB0934"/>
                <w:sz w:val="20"/>
              </w:rPr>
              <w:t>94%</w:t>
            </w:r>
          </w:p>
        </w:tc>
        <w:tc>
          <w:tcPr>
            <w:tcW w:w="5788" w:type="dxa"/>
            <w:tcBorders>
              <w:top w:val="single" w:sz="4" w:space="0" w:color="EFEFEF"/>
              <w:left w:val="nil"/>
              <w:bottom w:val="single" w:sz="4" w:space="0" w:color="EFEFEF"/>
              <w:right w:val="nil"/>
            </w:tcBorders>
            <w:shd w:val="clear" w:color="auto" w:fill="FFFFFF"/>
            <w:tcMar>
              <w:top w:w="95" w:type="dxa"/>
              <w:left w:w="110" w:type="dxa"/>
              <w:bottom w:w="95" w:type="dxa"/>
              <w:right w:w="110" w:type="dxa"/>
            </w:tcMar>
          </w:tcPr>
          <w:p w14:paraId="5D24B021" w14:textId="77777777" w:rsidR="001F01EE" w:rsidRDefault="00000000">
            <w:pPr>
              <w:spacing w:line="250" w:lineRule="auto"/>
            </w:pPr>
            <w:r>
              <w:rPr>
                <w:sz w:val="17"/>
              </w:rPr>
              <w:t>This was the dominant overall discussion point. It shows that most candidates framed their feedback around whether questions felt familiar or unfamiliar compared with question-bank material. On its own, this does not show the degree of similarity; that needs the detailed similarity comments below.</w:t>
            </w:r>
          </w:p>
        </w:tc>
      </w:tr>
      <w:tr w:rsidR="001F01EE" w14:paraId="53C32023" w14:textId="77777777">
        <w:trPr>
          <w:cantSplit/>
          <w:jc w:val="center"/>
        </w:trPr>
        <w:tc>
          <w:tcPr>
            <w:tcW w:w="2808" w:type="dxa"/>
            <w:tcBorders>
              <w:top w:val="single" w:sz="4" w:space="0" w:color="EFEFEF"/>
              <w:left w:val="nil"/>
              <w:bottom w:val="single" w:sz="4" w:space="0" w:color="EFEFEF"/>
              <w:right w:val="nil"/>
            </w:tcBorders>
            <w:shd w:val="clear" w:color="auto" w:fill="FBFBFB"/>
            <w:tcMar>
              <w:top w:w="95" w:type="dxa"/>
              <w:left w:w="110" w:type="dxa"/>
              <w:bottom w:w="95" w:type="dxa"/>
              <w:right w:w="110" w:type="dxa"/>
            </w:tcMar>
          </w:tcPr>
          <w:p w14:paraId="1E694FD5" w14:textId="77777777" w:rsidR="001F01EE" w:rsidRDefault="00000000">
            <w:r>
              <w:rPr>
                <w:b/>
                <w:sz w:val="17"/>
              </w:rPr>
              <w:t>Exam manageability, difficulty, fairness, time or stress</w:t>
            </w:r>
          </w:p>
        </w:tc>
        <w:tc>
          <w:tcPr>
            <w:tcW w:w="1036" w:type="dxa"/>
            <w:tcBorders>
              <w:top w:val="single" w:sz="4" w:space="0" w:color="EFEFEF"/>
              <w:left w:val="nil"/>
              <w:bottom w:val="single" w:sz="4" w:space="0" w:color="EFEFEF"/>
              <w:right w:val="nil"/>
            </w:tcBorders>
            <w:shd w:val="clear" w:color="auto" w:fill="FBFBFB"/>
            <w:tcMar>
              <w:top w:w="95" w:type="dxa"/>
              <w:left w:w="110" w:type="dxa"/>
              <w:bottom w:w="95" w:type="dxa"/>
              <w:right w:w="110" w:type="dxa"/>
            </w:tcMar>
          </w:tcPr>
          <w:p w14:paraId="492871D9" w14:textId="77777777" w:rsidR="001F01EE" w:rsidRDefault="00000000">
            <w:pPr>
              <w:jc w:val="center"/>
            </w:pPr>
            <w:r>
              <w:rPr>
                <w:b/>
                <w:color w:val="DB0934"/>
                <w:sz w:val="20"/>
              </w:rPr>
              <w:t>54%</w:t>
            </w:r>
          </w:p>
        </w:tc>
        <w:tc>
          <w:tcPr>
            <w:tcW w:w="5788" w:type="dxa"/>
            <w:tcBorders>
              <w:top w:val="single" w:sz="4" w:space="0" w:color="EFEFEF"/>
              <w:left w:val="nil"/>
              <w:bottom w:val="single" w:sz="4" w:space="0" w:color="EFEFEF"/>
              <w:right w:val="nil"/>
            </w:tcBorders>
            <w:shd w:val="clear" w:color="auto" w:fill="FBFBFB"/>
            <w:tcMar>
              <w:top w:w="95" w:type="dxa"/>
              <w:left w:w="110" w:type="dxa"/>
              <w:bottom w:w="95" w:type="dxa"/>
              <w:right w:w="110" w:type="dxa"/>
            </w:tcMar>
          </w:tcPr>
          <w:p w14:paraId="2FA47902" w14:textId="77777777" w:rsidR="001F01EE" w:rsidRDefault="00000000">
            <w:pPr>
              <w:spacing w:line="250" w:lineRule="auto"/>
            </w:pPr>
            <w:r>
              <w:rPr>
                <w:sz w:val="17"/>
              </w:rPr>
              <w:t>Over half of the feedback commented on how the exam felt overall, including workload, pressure, fairness and manageability.</w:t>
            </w:r>
          </w:p>
        </w:tc>
      </w:tr>
      <w:tr w:rsidR="001F01EE" w14:paraId="69AE3853" w14:textId="77777777">
        <w:trPr>
          <w:cantSplit/>
          <w:jc w:val="center"/>
        </w:trPr>
        <w:tc>
          <w:tcPr>
            <w:tcW w:w="2808" w:type="dxa"/>
            <w:tcBorders>
              <w:top w:val="single" w:sz="4" w:space="0" w:color="EFEFEF"/>
              <w:left w:val="nil"/>
              <w:bottom w:val="single" w:sz="4" w:space="0" w:color="EFEFEF"/>
              <w:right w:val="nil"/>
            </w:tcBorders>
            <w:shd w:val="clear" w:color="auto" w:fill="FFFFFF"/>
            <w:tcMar>
              <w:top w:w="95" w:type="dxa"/>
              <w:left w:w="110" w:type="dxa"/>
              <w:bottom w:w="95" w:type="dxa"/>
              <w:right w:w="110" w:type="dxa"/>
            </w:tcMar>
          </w:tcPr>
          <w:p w14:paraId="7FB4B375" w14:textId="77777777" w:rsidR="001F01EE" w:rsidRDefault="00000000">
            <w:r>
              <w:rPr>
                <w:b/>
                <w:sz w:val="17"/>
              </w:rPr>
              <w:t>Calculation-heavy experience</w:t>
            </w:r>
          </w:p>
        </w:tc>
        <w:tc>
          <w:tcPr>
            <w:tcW w:w="1036" w:type="dxa"/>
            <w:tcBorders>
              <w:top w:val="single" w:sz="4" w:space="0" w:color="EFEFEF"/>
              <w:left w:val="nil"/>
              <w:bottom w:val="single" w:sz="4" w:space="0" w:color="EFEFEF"/>
              <w:right w:val="nil"/>
            </w:tcBorders>
            <w:shd w:val="clear" w:color="auto" w:fill="FFFFFF"/>
            <w:tcMar>
              <w:top w:w="95" w:type="dxa"/>
              <w:left w:w="110" w:type="dxa"/>
              <w:bottom w:w="95" w:type="dxa"/>
              <w:right w:w="110" w:type="dxa"/>
            </w:tcMar>
          </w:tcPr>
          <w:p w14:paraId="52557A0D" w14:textId="77777777" w:rsidR="001F01EE" w:rsidRDefault="00000000">
            <w:pPr>
              <w:jc w:val="center"/>
            </w:pPr>
            <w:r>
              <w:rPr>
                <w:b/>
                <w:color w:val="DB0934"/>
                <w:sz w:val="20"/>
              </w:rPr>
              <w:t>53%</w:t>
            </w:r>
          </w:p>
        </w:tc>
        <w:tc>
          <w:tcPr>
            <w:tcW w:w="5788" w:type="dxa"/>
            <w:tcBorders>
              <w:top w:val="single" w:sz="4" w:space="0" w:color="EFEFEF"/>
              <w:left w:val="nil"/>
              <w:bottom w:val="single" w:sz="4" w:space="0" w:color="EFEFEF"/>
              <w:right w:val="nil"/>
            </w:tcBorders>
            <w:shd w:val="clear" w:color="auto" w:fill="FFFFFF"/>
            <w:tcMar>
              <w:top w:w="95" w:type="dxa"/>
              <w:left w:w="110" w:type="dxa"/>
              <w:bottom w:w="95" w:type="dxa"/>
              <w:right w:w="110" w:type="dxa"/>
            </w:tcMar>
          </w:tcPr>
          <w:p w14:paraId="343829F4" w14:textId="77777777" w:rsidR="001F01EE" w:rsidRDefault="00000000">
            <w:pPr>
              <w:spacing w:line="250" w:lineRule="auto"/>
            </w:pPr>
            <w:r>
              <w:rPr>
                <w:sz w:val="17"/>
              </w:rPr>
              <w:t xml:space="preserve">Just over half of the feedback described the exam in terms of calculation load or calculation-method changes. </w:t>
            </w:r>
          </w:p>
        </w:tc>
      </w:tr>
      <w:tr w:rsidR="001F01EE" w14:paraId="3E59BA19" w14:textId="77777777">
        <w:trPr>
          <w:cantSplit/>
          <w:jc w:val="center"/>
        </w:trPr>
        <w:tc>
          <w:tcPr>
            <w:tcW w:w="2808" w:type="dxa"/>
            <w:tcBorders>
              <w:top w:val="single" w:sz="4" w:space="0" w:color="EFEFEF"/>
              <w:left w:val="nil"/>
              <w:bottom w:val="single" w:sz="4" w:space="0" w:color="EFEFEF"/>
              <w:right w:val="nil"/>
            </w:tcBorders>
            <w:shd w:val="clear" w:color="auto" w:fill="FBFBFB"/>
            <w:tcMar>
              <w:top w:w="95" w:type="dxa"/>
              <w:left w:w="110" w:type="dxa"/>
              <w:bottom w:w="95" w:type="dxa"/>
              <w:right w:w="110" w:type="dxa"/>
            </w:tcMar>
          </w:tcPr>
          <w:p w14:paraId="5BB3BB51" w14:textId="77777777" w:rsidR="001F01EE" w:rsidRDefault="00000000">
            <w:r>
              <w:rPr>
                <w:b/>
                <w:sz w:val="17"/>
              </w:rPr>
              <w:t>New, unseen, reworded or changed-number material</w:t>
            </w:r>
          </w:p>
        </w:tc>
        <w:tc>
          <w:tcPr>
            <w:tcW w:w="1036" w:type="dxa"/>
            <w:tcBorders>
              <w:top w:val="single" w:sz="4" w:space="0" w:color="EFEFEF"/>
              <w:left w:val="nil"/>
              <w:bottom w:val="single" w:sz="4" w:space="0" w:color="EFEFEF"/>
              <w:right w:val="nil"/>
            </w:tcBorders>
            <w:shd w:val="clear" w:color="auto" w:fill="FBFBFB"/>
            <w:tcMar>
              <w:top w:w="95" w:type="dxa"/>
              <w:left w:w="110" w:type="dxa"/>
              <w:bottom w:w="95" w:type="dxa"/>
              <w:right w:w="110" w:type="dxa"/>
            </w:tcMar>
          </w:tcPr>
          <w:p w14:paraId="1925F33C" w14:textId="77777777" w:rsidR="001F01EE" w:rsidRDefault="00000000">
            <w:pPr>
              <w:jc w:val="center"/>
            </w:pPr>
            <w:r>
              <w:rPr>
                <w:b/>
                <w:color w:val="DB0934"/>
                <w:sz w:val="20"/>
              </w:rPr>
              <w:t>47%</w:t>
            </w:r>
          </w:p>
        </w:tc>
        <w:tc>
          <w:tcPr>
            <w:tcW w:w="5788" w:type="dxa"/>
            <w:tcBorders>
              <w:top w:val="single" w:sz="4" w:space="0" w:color="EFEFEF"/>
              <w:left w:val="nil"/>
              <w:bottom w:val="single" w:sz="4" w:space="0" w:color="EFEFEF"/>
              <w:right w:val="nil"/>
            </w:tcBorders>
            <w:shd w:val="clear" w:color="auto" w:fill="FBFBFB"/>
            <w:tcMar>
              <w:top w:w="95" w:type="dxa"/>
              <w:left w:w="110" w:type="dxa"/>
              <w:bottom w:w="95" w:type="dxa"/>
              <w:right w:w="110" w:type="dxa"/>
            </w:tcMar>
          </w:tcPr>
          <w:p w14:paraId="5FF11259" w14:textId="77777777" w:rsidR="001F01EE" w:rsidRDefault="00000000">
            <w:pPr>
              <w:spacing w:line="250" w:lineRule="auto"/>
            </w:pPr>
            <w:r>
              <w:rPr>
                <w:sz w:val="17"/>
              </w:rPr>
              <w:t>This is the main counterbalance to the bank-familiarity theme. Many candidates saw some familiar material, but also reported questions that felt changed, reworded or unfamiliar.</w:t>
            </w:r>
          </w:p>
        </w:tc>
      </w:tr>
    </w:tbl>
    <w:p w14:paraId="13451BCA" w14:textId="77777777" w:rsidR="001F01EE" w:rsidRDefault="001F01EE">
      <w:pPr>
        <w:spacing w:after="60"/>
      </w:pPr>
    </w:p>
    <w:p w14:paraId="5D47CB87" w14:textId="77777777" w:rsidR="001F01EE" w:rsidRDefault="00000000">
      <w:pPr>
        <w:pStyle w:val="Heading2"/>
        <w:pBdr>
          <w:bottom w:val="single" w:sz="18" w:space="6" w:color="DB0934"/>
        </w:pBdr>
      </w:pPr>
      <w:r>
        <w:rPr>
          <w:rFonts w:ascii="Arial" w:eastAsia="Arial" w:hAnsi="Arial"/>
        </w:rPr>
        <w:t>Question-bank familiarity</w:t>
      </w:r>
    </w:p>
    <w:tbl>
      <w:tblPr>
        <w:tblW w:w="5000" w:type="pct"/>
        <w:jc w:val="center"/>
        <w:tblLayout w:type="fixed"/>
        <w:tblLook w:val="04A0" w:firstRow="1" w:lastRow="0" w:firstColumn="1" w:lastColumn="0" w:noHBand="0" w:noVBand="1"/>
      </w:tblPr>
      <w:tblGrid>
        <w:gridCol w:w="3023"/>
        <w:gridCol w:w="1115"/>
        <w:gridCol w:w="6230"/>
      </w:tblGrid>
      <w:tr w:rsidR="001F01EE" w14:paraId="77A13663" w14:textId="77777777">
        <w:trPr>
          <w:cantSplit/>
          <w:tblHeader/>
          <w:jc w:val="center"/>
        </w:trPr>
        <w:tc>
          <w:tcPr>
            <w:tcW w:w="2808" w:type="dxa"/>
            <w:tcBorders>
              <w:top w:val="single" w:sz="6" w:space="0" w:color="424242"/>
              <w:left w:val="nil"/>
              <w:bottom w:val="single" w:sz="8" w:space="0" w:color="DB0934"/>
              <w:right w:val="nil"/>
            </w:tcBorders>
            <w:shd w:val="clear" w:color="auto" w:fill="424242"/>
            <w:tcMar>
              <w:top w:w="105" w:type="dxa"/>
              <w:left w:w="110" w:type="dxa"/>
              <w:bottom w:w="105" w:type="dxa"/>
              <w:right w:w="110" w:type="dxa"/>
            </w:tcMar>
          </w:tcPr>
          <w:p w14:paraId="2657EE42" w14:textId="77777777" w:rsidR="001F01EE" w:rsidRDefault="00000000">
            <w:r>
              <w:rPr>
                <w:b/>
                <w:color w:val="FFFFFF"/>
                <w:sz w:val="15"/>
              </w:rPr>
              <w:t>AREA / FINDING</w:t>
            </w:r>
          </w:p>
        </w:tc>
        <w:tc>
          <w:tcPr>
            <w:tcW w:w="1036" w:type="dxa"/>
            <w:tcBorders>
              <w:top w:val="single" w:sz="6" w:space="0" w:color="424242"/>
              <w:left w:val="nil"/>
              <w:bottom w:val="single" w:sz="8" w:space="0" w:color="DB0934"/>
              <w:right w:val="nil"/>
            </w:tcBorders>
            <w:shd w:val="clear" w:color="auto" w:fill="424242"/>
            <w:tcMar>
              <w:top w:w="105" w:type="dxa"/>
              <w:left w:w="110" w:type="dxa"/>
              <w:bottom w:w="105" w:type="dxa"/>
              <w:right w:w="110" w:type="dxa"/>
            </w:tcMar>
          </w:tcPr>
          <w:p w14:paraId="165C2941" w14:textId="77777777" w:rsidR="001F01EE" w:rsidRDefault="00000000">
            <w:pPr>
              <w:jc w:val="center"/>
            </w:pPr>
            <w:r>
              <w:rPr>
                <w:b/>
                <w:color w:val="FFFFFF"/>
                <w:sz w:val="15"/>
              </w:rPr>
              <w:t>SHARE</w:t>
            </w:r>
          </w:p>
        </w:tc>
        <w:tc>
          <w:tcPr>
            <w:tcW w:w="5788" w:type="dxa"/>
            <w:tcBorders>
              <w:top w:val="single" w:sz="6" w:space="0" w:color="424242"/>
              <w:left w:val="nil"/>
              <w:bottom w:val="single" w:sz="8" w:space="0" w:color="DB0934"/>
              <w:right w:val="nil"/>
            </w:tcBorders>
            <w:shd w:val="clear" w:color="auto" w:fill="424242"/>
            <w:tcMar>
              <w:top w:w="105" w:type="dxa"/>
              <w:left w:w="110" w:type="dxa"/>
              <w:bottom w:w="105" w:type="dxa"/>
              <w:right w:w="110" w:type="dxa"/>
            </w:tcMar>
          </w:tcPr>
          <w:p w14:paraId="68A75CD5" w14:textId="77777777" w:rsidR="001F01EE" w:rsidRDefault="00000000">
            <w:r>
              <w:rPr>
                <w:b/>
                <w:color w:val="FFFFFF"/>
                <w:sz w:val="15"/>
              </w:rPr>
              <w:t>INTERPRETATION</w:t>
            </w:r>
          </w:p>
        </w:tc>
      </w:tr>
      <w:tr w:rsidR="001F01EE" w14:paraId="605E5BA3" w14:textId="77777777">
        <w:trPr>
          <w:cantSplit/>
          <w:jc w:val="center"/>
        </w:trPr>
        <w:tc>
          <w:tcPr>
            <w:tcW w:w="2808" w:type="dxa"/>
            <w:tcBorders>
              <w:top w:val="single" w:sz="4" w:space="0" w:color="EFEFEF"/>
              <w:left w:val="nil"/>
              <w:bottom w:val="single" w:sz="4" w:space="0" w:color="EFEFEF"/>
              <w:right w:val="nil"/>
            </w:tcBorders>
            <w:shd w:val="clear" w:color="auto" w:fill="FFFFFF"/>
            <w:tcMar>
              <w:top w:w="95" w:type="dxa"/>
              <w:left w:w="110" w:type="dxa"/>
              <w:bottom w:w="95" w:type="dxa"/>
              <w:right w:w="110" w:type="dxa"/>
            </w:tcMar>
          </w:tcPr>
          <w:p w14:paraId="7EB05A17" w14:textId="77777777" w:rsidR="001F01EE" w:rsidRDefault="00000000">
            <w:r>
              <w:rPr>
                <w:b/>
                <w:sz w:val="17"/>
              </w:rPr>
              <w:t>Similarity below 50%</w:t>
            </w:r>
          </w:p>
        </w:tc>
        <w:tc>
          <w:tcPr>
            <w:tcW w:w="1036" w:type="dxa"/>
            <w:tcBorders>
              <w:top w:val="single" w:sz="4" w:space="0" w:color="EFEFEF"/>
              <w:left w:val="nil"/>
              <w:bottom w:val="single" w:sz="4" w:space="0" w:color="EFEFEF"/>
              <w:right w:val="nil"/>
            </w:tcBorders>
            <w:shd w:val="clear" w:color="auto" w:fill="FFFFFF"/>
            <w:tcMar>
              <w:top w:w="95" w:type="dxa"/>
              <w:left w:w="110" w:type="dxa"/>
              <w:bottom w:w="95" w:type="dxa"/>
              <w:right w:w="110" w:type="dxa"/>
            </w:tcMar>
          </w:tcPr>
          <w:p w14:paraId="4E7D145F" w14:textId="77777777" w:rsidR="001F01EE" w:rsidRDefault="00000000">
            <w:pPr>
              <w:jc w:val="center"/>
            </w:pPr>
            <w:r>
              <w:rPr>
                <w:b/>
                <w:color w:val="DB0934"/>
                <w:sz w:val="20"/>
              </w:rPr>
              <w:t>13%</w:t>
            </w:r>
          </w:p>
        </w:tc>
        <w:tc>
          <w:tcPr>
            <w:tcW w:w="5788" w:type="dxa"/>
            <w:tcBorders>
              <w:top w:val="single" w:sz="4" w:space="0" w:color="EFEFEF"/>
              <w:left w:val="nil"/>
              <w:bottom w:val="single" w:sz="4" w:space="0" w:color="EFEFEF"/>
              <w:right w:val="nil"/>
            </w:tcBorders>
            <w:shd w:val="clear" w:color="auto" w:fill="FFFFFF"/>
            <w:tcMar>
              <w:top w:w="95" w:type="dxa"/>
              <w:left w:w="110" w:type="dxa"/>
              <w:bottom w:w="95" w:type="dxa"/>
              <w:right w:w="110" w:type="dxa"/>
            </w:tcMar>
          </w:tcPr>
          <w:p w14:paraId="2F836FA2" w14:textId="77777777" w:rsidR="001F01EE" w:rsidRDefault="00000000">
            <w:pPr>
              <w:spacing w:line="250" w:lineRule="auto"/>
            </w:pPr>
            <w:r>
              <w:rPr>
                <w:sz w:val="17"/>
              </w:rPr>
              <w:t>Among candidates who gave a clear similarity figure, a minority reported low similarity to question-bank material.</w:t>
            </w:r>
          </w:p>
        </w:tc>
      </w:tr>
      <w:tr w:rsidR="001F01EE" w14:paraId="64EEEBC1" w14:textId="77777777">
        <w:trPr>
          <w:cantSplit/>
          <w:jc w:val="center"/>
        </w:trPr>
        <w:tc>
          <w:tcPr>
            <w:tcW w:w="2808" w:type="dxa"/>
            <w:tcBorders>
              <w:top w:val="single" w:sz="4" w:space="0" w:color="EFEFEF"/>
              <w:left w:val="nil"/>
              <w:bottom w:val="single" w:sz="4" w:space="0" w:color="EFEFEF"/>
              <w:right w:val="nil"/>
            </w:tcBorders>
            <w:shd w:val="clear" w:color="auto" w:fill="FBFBFB"/>
            <w:tcMar>
              <w:top w:w="95" w:type="dxa"/>
              <w:left w:w="110" w:type="dxa"/>
              <w:bottom w:w="95" w:type="dxa"/>
              <w:right w:w="110" w:type="dxa"/>
            </w:tcMar>
          </w:tcPr>
          <w:p w14:paraId="1EEE687D" w14:textId="77777777" w:rsidR="001F01EE" w:rsidRDefault="00000000">
            <w:r>
              <w:rPr>
                <w:b/>
                <w:sz w:val="17"/>
              </w:rPr>
              <w:t>Similarity between 50% and 79%</w:t>
            </w:r>
          </w:p>
        </w:tc>
        <w:tc>
          <w:tcPr>
            <w:tcW w:w="1036" w:type="dxa"/>
            <w:tcBorders>
              <w:top w:val="single" w:sz="4" w:space="0" w:color="EFEFEF"/>
              <w:left w:val="nil"/>
              <w:bottom w:val="single" w:sz="4" w:space="0" w:color="EFEFEF"/>
              <w:right w:val="nil"/>
            </w:tcBorders>
            <w:shd w:val="clear" w:color="auto" w:fill="FBFBFB"/>
            <w:tcMar>
              <w:top w:w="95" w:type="dxa"/>
              <w:left w:w="110" w:type="dxa"/>
              <w:bottom w:w="95" w:type="dxa"/>
              <w:right w:w="110" w:type="dxa"/>
            </w:tcMar>
          </w:tcPr>
          <w:p w14:paraId="3B2B48F2" w14:textId="77777777" w:rsidR="001F01EE" w:rsidRDefault="00000000">
            <w:pPr>
              <w:jc w:val="center"/>
            </w:pPr>
            <w:r>
              <w:rPr>
                <w:b/>
                <w:color w:val="DB0934"/>
                <w:sz w:val="20"/>
              </w:rPr>
              <w:t>45%</w:t>
            </w:r>
          </w:p>
        </w:tc>
        <w:tc>
          <w:tcPr>
            <w:tcW w:w="5788" w:type="dxa"/>
            <w:tcBorders>
              <w:top w:val="single" w:sz="4" w:space="0" w:color="EFEFEF"/>
              <w:left w:val="nil"/>
              <w:bottom w:val="single" w:sz="4" w:space="0" w:color="EFEFEF"/>
              <w:right w:val="nil"/>
            </w:tcBorders>
            <w:shd w:val="clear" w:color="auto" w:fill="FBFBFB"/>
            <w:tcMar>
              <w:top w:w="95" w:type="dxa"/>
              <w:left w:w="110" w:type="dxa"/>
              <w:bottom w:w="95" w:type="dxa"/>
              <w:right w:w="110" w:type="dxa"/>
            </w:tcMar>
          </w:tcPr>
          <w:p w14:paraId="069A34F9" w14:textId="77777777" w:rsidR="001F01EE" w:rsidRDefault="00000000">
            <w:pPr>
              <w:spacing w:line="250" w:lineRule="auto"/>
            </w:pPr>
            <w:r>
              <w:rPr>
                <w:sz w:val="17"/>
              </w:rPr>
              <w:t>This was the largest similarity band among reports that gave a number. It suggests that many candidates saw a mixed paper: some familiar material, but not a full bank-style match.</w:t>
            </w:r>
          </w:p>
        </w:tc>
      </w:tr>
      <w:tr w:rsidR="001F01EE" w14:paraId="561BB9A3" w14:textId="77777777">
        <w:trPr>
          <w:cantSplit/>
          <w:jc w:val="center"/>
        </w:trPr>
        <w:tc>
          <w:tcPr>
            <w:tcW w:w="2808" w:type="dxa"/>
            <w:tcBorders>
              <w:top w:val="single" w:sz="4" w:space="0" w:color="EFEFEF"/>
              <w:left w:val="nil"/>
              <w:bottom w:val="single" w:sz="4" w:space="0" w:color="EFEFEF"/>
              <w:right w:val="nil"/>
            </w:tcBorders>
            <w:shd w:val="clear" w:color="auto" w:fill="FFFFFF"/>
            <w:tcMar>
              <w:top w:w="95" w:type="dxa"/>
              <w:left w:w="110" w:type="dxa"/>
              <w:bottom w:w="95" w:type="dxa"/>
              <w:right w:w="110" w:type="dxa"/>
            </w:tcMar>
          </w:tcPr>
          <w:p w14:paraId="3CD726E7" w14:textId="77777777" w:rsidR="001F01EE" w:rsidRDefault="00000000">
            <w:r>
              <w:rPr>
                <w:b/>
                <w:sz w:val="17"/>
              </w:rPr>
              <w:t>Similarity at 80% or above</w:t>
            </w:r>
          </w:p>
        </w:tc>
        <w:tc>
          <w:tcPr>
            <w:tcW w:w="1036" w:type="dxa"/>
            <w:tcBorders>
              <w:top w:val="single" w:sz="4" w:space="0" w:color="EFEFEF"/>
              <w:left w:val="nil"/>
              <w:bottom w:val="single" w:sz="4" w:space="0" w:color="EFEFEF"/>
              <w:right w:val="nil"/>
            </w:tcBorders>
            <w:shd w:val="clear" w:color="auto" w:fill="FFFFFF"/>
            <w:tcMar>
              <w:top w:w="95" w:type="dxa"/>
              <w:left w:w="110" w:type="dxa"/>
              <w:bottom w:w="95" w:type="dxa"/>
              <w:right w:w="110" w:type="dxa"/>
            </w:tcMar>
          </w:tcPr>
          <w:p w14:paraId="24FC32F4" w14:textId="77777777" w:rsidR="001F01EE" w:rsidRDefault="00000000">
            <w:pPr>
              <w:jc w:val="center"/>
            </w:pPr>
            <w:r>
              <w:rPr>
                <w:b/>
                <w:color w:val="DB0934"/>
                <w:sz w:val="20"/>
              </w:rPr>
              <w:t>42%</w:t>
            </w:r>
          </w:p>
        </w:tc>
        <w:tc>
          <w:tcPr>
            <w:tcW w:w="5788" w:type="dxa"/>
            <w:tcBorders>
              <w:top w:val="single" w:sz="4" w:space="0" w:color="EFEFEF"/>
              <w:left w:val="nil"/>
              <w:bottom w:val="single" w:sz="4" w:space="0" w:color="EFEFEF"/>
              <w:right w:val="nil"/>
            </w:tcBorders>
            <w:shd w:val="clear" w:color="auto" w:fill="FFFFFF"/>
            <w:tcMar>
              <w:top w:w="95" w:type="dxa"/>
              <w:left w:w="110" w:type="dxa"/>
              <w:bottom w:w="95" w:type="dxa"/>
              <w:right w:w="110" w:type="dxa"/>
            </w:tcMar>
          </w:tcPr>
          <w:p w14:paraId="7A3B759B" w14:textId="77777777" w:rsidR="001F01EE" w:rsidRDefault="00000000">
            <w:pPr>
              <w:spacing w:line="250" w:lineRule="auto"/>
            </w:pPr>
            <w:r>
              <w:rPr>
                <w:sz w:val="17"/>
              </w:rPr>
              <w:t>A substantial proportion of candidates who gave a number reported high similarity. This should be read alongside the reports of rewording, changed figures and new material.</w:t>
            </w:r>
          </w:p>
        </w:tc>
      </w:tr>
    </w:tbl>
    <w:p w14:paraId="00AD85A6" w14:textId="77777777" w:rsidR="001F01EE" w:rsidRDefault="001F01EE">
      <w:pPr>
        <w:spacing w:after="60"/>
      </w:pPr>
    </w:p>
    <w:p w14:paraId="1BECE635" w14:textId="77777777" w:rsidR="001F01EE" w:rsidRDefault="00000000">
      <w:pPr>
        <w:pStyle w:val="Heading2"/>
        <w:pBdr>
          <w:bottom w:val="single" w:sz="18" w:space="6" w:color="DB0934"/>
        </w:pBdr>
      </w:pPr>
      <w:r>
        <w:rPr>
          <w:rFonts w:ascii="Arial" w:eastAsia="Arial" w:hAnsi="Arial"/>
        </w:rPr>
        <w:t>New, unseen, reworded or changed material</w:t>
      </w:r>
    </w:p>
    <w:tbl>
      <w:tblPr>
        <w:tblW w:w="5000" w:type="pct"/>
        <w:jc w:val="center"/>
        <w:tblLayout w:type="fixed"/>
        <w:tblLook w:val="04A0" w:firstRow="1" w:lastRow="0" w:firstColumn="1" w:lastColumn="0" w:noHBand="0" w:noVBand="1"/>
      </w:tblPr>
      <w:tblGrid>
        <w:gridCol w:w="3023"/>
        <w:gridCol w:w="1115"/>
        <w:gridCol w:w="6230"/>
      </w:tblGrid>
      <w:tr w:rsidR="001F01EE" w14:paraId="16EE986D" w14:textId="77777777">
        <w:trPr>
          <w:cantSplit/>
          <w:tblHeader/>
          <w:jc w:val="center"/>
        </w:trPr>
        <w:tc>
          <w:tcPr>
            <w:tcW w:w="2808" w:type="dxa"/>
            <w:tcBorders>
              <w:top w:val="single" w:sz="6" w:space="0" w:color="424242"/>
              <w:left w:val="nil"/>
              <w:bottom w:val="single" w:sz="8" w:space="0" w:color="DB0934"/>
              <w:right w:val="nil"/>
            </w:tcBorders>
            <w:shd w:val="clear" w:color="auto" w:fill="424242"/>
            <w:tcMar>
              <w:top w:w="105" w:type="dxa"/>
              <w:left w:w="110" w:type="dxa"/>
              <w:bottom w:w="105" w:type="dxa"/>
              <w:right w:w="110" w:type="dxa"/>
            </w:tcMar>
          </w:tcPr>
          <w:p w14:paraId="6A483BDF" w14:textId="77777777" w:rsidR="001F01EE" w:rsidRDefault="00000000">
            <w:r>
              <w:rPr>
                <w:b/>
                <w:color w:val="FFFFFF"/>
                <w:sz w:val="15"/>
              </w:rPr>
              <w:t>AREA / FINDING</w:t>
            </w:r>
          </w:p>
        </w:tc>
        <w:tc>
          <w:tcPr>
            <w:tcW w:w="1036" w:type="dxa"/>
            <w:tcBorders>
              <w:top w:val="single" w:sz="6" w:space="0" w:color="424242"/>
              <w:left w:val="nil"/>
              <w:bottom w:val="single" w:sz="8" w:space="0" w:color="DB0934"/>
              <w:right w:val="nil"/>
            </w:tcBorders>
            <w:shd w:val="clear" w:color="auto" w:fill="424242"/>
            <w:tcMar>
              <w:top w:w="105" w:type="dxa"/>
              <w:left w:w="110" w:type="dxa"/>
              <w:bottom w:w="105" w:type="dxa"/>
              <w:right w:w="110" w:type="dxa"/>
            </w:tcMar>
          </w:tcPr>
          <w:p w14:paraId="702DBD54" w14:textId="77777777" w:rsidR="001F01EE" w:rsidRDefault="00000000">
            <w:pPr>
              <w:jc w:val="center"/>
            </w:pPr>
            <w:r>
              <w:rPr>
                <w:b/>
                <w:color w:val="FFFFFF"/>
                <w:sz w:val="15"/>
              </w:rPr>
              <w:t>SHARE</w:t>
            </w:r>
          </w:p>
        </w:tc>
        <w:tc>
          <w:tcPr>
            <w:tcW w:w="5788" w:type="dxa"/>
            <w:tcBorders>
              <w:top w:val="single" w:sz="6" w:space="0" w:color="424242"/>
              <w:left w:val="nil"/>
              <w:bottom w:val="single" w:sz="8" w:space="0" w:color="DB0934"/>
              <w:right w:val="nil"/>
            </w:tcBorders>
            <w:shd w:val="clear" w:color="auto" w:fill="424242"/>
            <w:tcMar>
              <w:top w:w="105" w:type="dxa"/>
              <w:left w:w="110" w:type="dxa"/>
              <w:bottom w:w="105" w:type="dxa"/>
              <w:right w:w="110" w:type="dxa"/>
            </w:tcMar>
          </w:tcPr>
          <w:p w14:paraId="25C52379" w14:textId="77777777" w:rsidR="001F01EE" w:rsidRDefault="00000000">
            <w:r>
              <w:rPr>
                <w:b/>
                <w:color w:val="FFFFFF"/>
                <w:sz w:val="15"/>
              </w:rPr>
              <w:t>INTERPRETATION</w:t>
            </w:r>
          </w:p>
        </w:tc>
      </w:tr>
      <w:tr w:rsidR="001F01EE" w14:paraId="257C395C" w14:textId="77777777">
        <w:trPr>
          <w:cantSplit/>
          <w:jc w:val="center"/>
        </w:trPr>
        <w:tc>
          <w:tcPr>
            <w:tcW w:w="2808" w:type="dxa"/>
            <w:tcBorders>
              <w:top w:val="single" w:sz="4" w:space="0" w:color="EFEFEF"/>
              <w:left w:val="nil"/>
              <w:bottom w:val="single" w:sz="4" w:space="0" w:color="EFEFEF"/>
              <w:right w:val="nil"/>
            </w:tcBorders>
            <w:shd w:val="clear" w:color="auto" w:fill="FFFFFF"/>
            <w:tcMar>
              <w:top w:w="95" w:type="dxa"/>
              <w:left w:w="110" w:type="dxa"/>
              <w:bottom w:w="95" w:type="dxa"/>
              <w:right w:w="110" w:type="dxa"/>
            </w:tcMar>
          </w:tcPr>
          <w:p w14:paraId="5A5A3B4D" w14:textId="77777777" w:rsidR="001F01EE" w:rsidRDefault="00000000">
            <w:r>
              <w:rPr>
                <w:b/>
                <w:sz w:val="17"/>
              </w:rPr>
              <w:t>New or unseen questions</w:t>
            </w:r>
          </w:p>
        </w:tc>
        <w:tc>
          <w:tcPr>
            <w:tcW w:w="1036" w:type="dxa"/>
            <w:tcBorders>
              <w:top w:val="single" w:sz="4" w:space="0" w:color="EFEFEF"/>
              <w:left w:val="nil"/>
              <w:bottom w:val="single" w:sz="4" w:space="0" w:color="EFEFEF"/>
              <w:right w:val="nil"/>
            </w:tcBorders>
            <w:shd w:val="clear" w:color="auto" w:fill="FFFFFF"/>
            <w:tcMar>
              <w:top w:w="95" w:type="dxa"/>
              <w:left w:w="110" w:type="dxa"/>
              <w:bottom w:w="95" w:type="dxa"/>
              <w:right w:w="110" w:type="dxa"/>
            </w:tcMar>
          </w:tcPr>
          <w:p w14:paraId="52A1F188" w14:textId="77777777" w:rsidR="001F01EE" w:rsidRDefault="00000000">
            <w:pPr>
              <w:jc w:val="center"/>
            </w:pPr>
            <w:r>
              <w:rPr>
                <w:b/>
                <w:color w:val="DB0934"/>
                <w:sz w:val="20"/>
              </w:rPr>
              <w:t>35%</w:t>
            </w:r>
          </w:p>
        </w:tc>
        <w:tc>
          <w:tcPr>
            <w:tcW w:w="5788" w:type="dxa"/>
            <w:tcBorders>
              <w:top w:val="single" w:sz="4" w:space="0" w:color="EFEFEF"/>
              <w:left w:val="nil"/>
              <w:bottom w:val="single" w:sz="4" w:space="0" w:color="EFEFEF"/>
              <w:right w:val="nil"/>
            </w:tcBorders>
            <w:shd w:val="clear" w:color="auto" w:fill="FFFFFF"/>
            <w:tcMar>
              <w:top w:w="95" w:type="dxa"/>
              <w:left w:w="110" w:type="dxa"/>
              <w:bottom w:w="95" w:type="dxa"/>
              <w:right w:w="110" w:type="dxa"/>
            </w:tcMar>
          </w:tcPr>
          <w:p w14:paraId="29BBD236" w14:textId="77777777" w:rsidR="001F01EE" w:rsidRDefault="00000000">
            <w:pPr>
              <w:spacing w:line="250" w:lineRule="auto"/>
            </w:pPr>
            <w:r>
              <w:rPr>
                <w:sz w:val="17"/>
              </w:rPr>
              <w:t>This was the most common form of unfamiliarity reported. It suggests that unfamiliar questions were a noticeable part of the feedback, even where other parts of the paper felt bank-like.</w:t>
            </w:r>
          </w:p>
        </w:tc>
      </w:tr>
      <w:tr w:rsidR="001F01EE" w14:paraId="1E355DE3" w14:textId="77777777">
        <w:trPr>
          <w:cantSplit/>
          <w:jc w:val="center"/>
        </w:trPr>
        <w:tc>
          <w:tcPr>
            <w:tcW w:w="2808" w:type="dxa"/>
            <w:tcBorders>
              <w:top w:val="single" w:sz="4" w:space="0" w:color="EFEFEF"/>
              <w:left w:val="nil"/>
              <w:bottom w:val="single" w:sz="4" w:space="0" w:color="EFEFEF"/>
              <w:right w:val="nil"/>
            </w:tcBorders>
            <w:shd w:val="clear" w:color="auto" w:fill="FBFBFB"/>
            <w:tcMar>
              <w:top w:w="95" w:type="dxa"/>
              <w:left w:w="110" w:type="dxa"/>
              <w:bottom w:w="95" w:type="dxa"/>
              <w:right w:w="110" w:type="dxa"/>
            </w:tcMar>
          </w:tcPr>
          <w:p w14:paraId="29B14CCC" w14:textId="77777777" w:rsidR="001F01EE" w:rsidRDefault="00000000">
            <w:r>
              <w:rPr>
                <w:b/>
                <w:sz w:val="17"/>
              </w:rPr>
              <w:t>Reworded, same-concept or changed-number questions</w:t>
            </w:r>
          </w:p>
        </w:tc>
        <w:tc>
          <w:tcPr>
            <w:tcW w:w="1036" w:type="dxa"/>
            <w:tcBorders>
              <w:top w:val="single" w:sz="4" w:space="0" w:color="EFEFEF"/>
              <w:left w:val="nil"/>
              <w:bottom w:val="single" w:sz="4" w:space="0" w:color="EFEFEF"/>
              <w:right w:val="nil"/>
            </w:tcBorders>
            <w:shd w:val="clear" w:color="auto" w:fill="FBFBFB"/>
            <w:tcMar>
              <w:top w:w="95" w:type="dxa"/>
              <w:left w:w="110" w:type="dxa"/>
              <w:bottom w:w="95" w:type="dxa"/>
              <w:right w:w="110" w:type="dxa"/>
            </w:tcMar>
          </w:tcPr>
          <w:p w14:paraId="11DC07CD" w14:textId="77777777" w:rsidR="001F01EE" w:rsidRDefault="00000000">
            <w:pPr>
              <w:jc w:val="center"/>
            </w:pPr>
            <w:r>
              <w:rPr>
                <w:b/>
                <w:color w:val="DB0934"/>
                <w:sz w:val="20"/>
              </w:rPr>
              <w:t>22%</w:t>
            </w:r>
          </w:p>
        </w:tc>
        <w:tc>
          <w:tcPr>
            <w:tcW w:w="5788" w:type="dxa"/>
            <w:tcBorders>
              <w:top w:val="single" w:sz="4" w:space="0" w:color="EFEFEF"/>
              <w:left w:val="nil"/>
              <w:bottom w:val="single" w:sz="4" w:space="0" w:color="EFEFEF"/>
              <w:right w:val="nil"/>
            </w:tcBorders>
            <w:shd w:val="clear" w:color="auto" w:fill="FBFBFB"/>
            <w:tcMar>
              <w:top w:w="95" w:type="dxa"/>
              <w:left w:w="110" w:type="dxa"/>
              <w:bottom w:w="95" w:type="dxa"/>
              <w:right w:w="110" w:type="dxa"/>
            </w:tcMar>
          </w:tcPr>
          <w:p w14:paraId="41240735" w14:textId="77777777" w:rsidR="001F01EE" w:rsidRDefault="00000000">
            <w:pPr>
              <w:spacing w:line="250" w:lineRule="auto"/>
            </w:pPr>
            <w:r>
              <w:rPr>
                <w:sz w:val="17"/>
              </w:rPr>
              <w:t>Some candidates recognised the underlying concept but reported that the wording, figures or method had changed. This matters because familiarity with the idea did not always mean the question appeared in a directly recognisable form.</w:t>
            </w:r>
          </w:p>
        </w:tc>
      </w:tr>
      <w:tr w:rsidR="001F01EE" w14:paraId="7FDACD0D" w14:textId="77777777">
        <w:trPr>
          <w:cantSplit/>
          <w:jc w:val="center"/>
        </w:trPr>
        <w:tc>
          <w:tcPr>
            <w:tcW w:w="2808" w:type="dxa"/>
            <w:tcBorders>
              <w:top w:val="single" w:sz="4" w:space="0" w:color="EFEFEF"/>
              <w:left w:val="nil"/>
              <w:bottom w:val="single" w:sz="4" w:space="0" w:color="EFEFEF"/>
              <w:right w:val="nil"/>
            </w:tcBorders>
            <w:shd w:val="clear" w:color="auto" w:fill="FFFFFF"/>
            <w:tcMar>
              <w:top w:w="95" w:type="dxa"/>
              <w:left w:w="110" w:type="dxa"/>
              <w:bottom w:w="95" w:type="dxa"/>
              <w:right w:w="110" w:type="dxa"/>
            </w:tcMar>
          </w:tcPr>
          <w:p w14:paraId="005F9AF2" w14:textId="77777777" w:rsidR="001F01EE" w:rsidRDefault="00000000">
            <w:r>
              <w:rPr>
                <w:b/>
                <w:sz w:val="17"/>
              </w:rPr>
              <w:t>Different or new annexes, charts, routes or logs</w:t>
            </w:r>
          </w:p>
        </w:tc>
        <w:tc>
          <w:tcPr>
            <w:tcW w:w="1036" w:type="dxa"/>
            <w:tcBorders>
              <w:top w:val="single" w:sz="4" w:space="0" w:color="EFEFEF"/>
              <w:left w:val="nil"/>
              <w:bottom w:val="single" w:sz="4" w:space="0" w:color="EFEFEF"/>
              <w:right w:val="nil"/>
            </w:tcBorders>
            <w:shd w:val="clear" w:color="auto" w:fill="FFFFFF"/>
            <w:tcMar>
              <w:top w:w="95" w:type="dxa"/>
              <w:left w:w="110" w:type="dxa"/>
              <w:bottom w:w="95" w:type="dxa"/>
              <w:right w:w="110" w:type="dxa"/>
            </w:tcMar>
          </w:tcPr>
          <w:p w14:paraId="6EC7E258" w14:textId="77777777" w:rsidR="001F01EE" w:rsidRDefault="00000000">
            <w:pPr>
              <w:jc w:val="center"/>
            </w:pPr>
            <w:r>
              <w:rPr>
                <w:b/>
                <w:color w:val="DB0934"/>
                <w:sz w:val="20"/>
              </w:rPr>
              <w:t>17%</w:t>
            </w:r>
          </w:p>
        </w:tc>
        <w:tc>
          <w:tcPr>
            <w:tcW w:w="5788" w:type="dxa"/>
            <w:tcBorders>
              <w:top w:val="single" w:sz="4" w:space="0" w:color="EFEFEF"/>
              <w:left w:val="nil"/>
              <w:bottom w:val="single" w:sz="4" w:space="0" w:color="EFEFEF"/>
              <w:right w:val="nil"/>
            </w:tcBorders>
            <w:shd w:val="clear" w:color="auto" w:fill="FFFFFF"/>
            <w:tcMar>
              <w:top w:w="95" w:type="dxa"/>
              <w:left w:w="110" w:type="dxa"/>
              <w:bottom w:w="95" w:type="dxa"/>
              <w:right w:w="110" w:type="dxa"/>
            </w:tcMar>
          </w:tcPr>
          <w:p w14:paraId="05433F29" w14:textId="77777777" w:rsidR="001F01EE" w:rsidRDefault="00000000">
            <w:pPr>
              <w:spacing w:line="250" w:lineRule="auto"/>
            </w:pPr>
            <w:r>
              <w:rPr>
                <w:sz w:val="17"/>
              </w:rPr>
              <w:t xml:space="preserve">Some feedback pointed to changed supporting material rather than simply changed question wording. </w:t>
            </w:r>
          </w:p>
        </w:tc>
      </w:tr>
      <w:tr w:rsidR="001F01EE" w14:paraId="7F7DDF1E" w14:textId="77777777">
        <w:trPr>
          <w:cantSplit/>
          <w:jc w:val="center"/>
        </w:trPr>
        <w:tc>
          <w:tcPr>
            <w:tcW w:w="2808" w:type="dxa"/>
            <w:tcBorders>
              <w:top w:val="single" w:sz="4" w:space="0" w:color="EFEFEF"/>
              <w:left w:val="nil"/>
              <w:bottom w:val="single" w:sz="4" w:space="0" w:color="EFEFEF"/>
              <w:right w:val="nil"/>
            </w:tcBorders>
            <w:shd w:val="clear" w:color="auto" w:fill="FBFBFB"/>
            <w:tcMar>
              <w:top w:w="95" w:type="dxa"/>
              <w:left w:w="110" w:type="dxa"/>
              <w:bottom w:w="95" w:type="dxa"/>
              <w:right w:w="110" w:type="dxa"/>
            </w:tcMar>
          </w:tcPr>
          <w:p w14:paraId="07F95EAB" w14:textId="77777777" w:rsidR="001F01EE" w:rsidRDefault="00000000">
            <w:r>
              <w:rPr>
                <w:b/>
                <w:sz w:val="17"/>
              </w:rPr>
              <w:lastRenderedPageBreak/>
              <w:t>Different figures or data</w:t>
            </w:r>
          </w:p>
        </w:tc>
        <w:tc>
          <w:tcPr>
            <w:tcW w:w="1036" w:type="dxa"/>
            <w:tcBorders>
              <w:top w:val="single" w:sz="4" w:space="0" w:color="EFEFEF"/>
              <w:left w:val="nil"/>
              <w:bottom w:val="single" w:sz="4" w:space="0" w:color="EFEFEF"/>
              <w:right w:val="nil"/>
            </w:tcBorders>
            <w:shd w:val="clear" w:color="auto" w:fill="FBFBFB"/>
            <w:tcMar>
              <w:top w:w="95" w:type="dxa"/>
              <w:left w:w="110" w:type="dxa"/>
              <w:bottom w:w="95" w:type="dxa"/>
              <w:right w:w="110" w:type="dxa"/>
            </w:tcMar>
          </w:tcPr>
          <w:p w14:paraId="04B16BD0" w14:textId="77777777" w:rsidR="001F01EE" w:rsidRDefault="00000000">
            <w:pPr>
              <w:jc w:val="center"/>
            </w:pPr>
            <w:r>
              <w:rPr>
                <w:b/>
                <w:color w:val="DB0934"/>
                <w:sz w:val="20"/>
              </w:rPr>
              <w:t>10%</w:t>
            </w:r>
          </w:p>
        </w:tc>
        <w:tc>
          <w:tcPr>
            <w:tcW w:w="5788" w:type="dxa"/>
            <w:tcBorders>
              <w:top w:val="single" w:sz="4" w:space="0" w:color="EFEFEF"/>
              <w:left w:val="nil"/>
              <w:bottom w:val="single" w:sz="4" w:space="0" w:color="EFEFEF"/>
              <w:right w:val="nil"/>
            </w:tcBorders>
            <w:shd w:val="clear" w:color="auto" w:fill="FBFBFB"/>
            <w:tcMar>
              <w:top w:w="95" w:type="dxa"/>
              <w:left w:w="110" w:type="dxa"/>
              <w:bottom w:w="95" w:type="dxa"/>
              <w:right w:w="110" w:type="dxa"/>
            </w:tcMar>
          </w:tcPr>
          <w:p w14:paraId="2581CC0D" w14:textId="77777777" w:rsidR="001F01EE" w:rsidRDefault="00000000">
            <w:pPr>
              <w:spacing w:line="250" w:lineRule="auto"/>
            </w:pPr>
            <w:r>
              <w:rPr>
                <w:sz w:val="17"/>
              </w:rPr>
              <w:t>This was a smaller but still relevant point. It indicates that some otherwise familiar-style questions may have required fresh calculation rather than recognition of a memorised answer.</w:t>
            </w:r>
          </w:p>
        </w:tc>
      </w:tr>
    </w:tbl>
    <w:p w14:paraId="1AE57E48" w14:textId="77777777" w:rsidR="001F01EE" w:rsidRDefault="001F01EE">
      <w:pPr>
        <w:spacing w:after="60"/>
      </w:pPr>
    </w:p>
    <w:p w14:paraId="712A57B6" w14:textId="77777777" w:rsidR="001F01EE" w:rsidRDefault="00000000">
      <w:pPr>
        <w:pStyle w:val="Heading2"/>
        <w:pBdr>
          <w:bottom w:val="single" w:sz="18" w:space="6" w:color="DB0934"/>
        </w:pBdr>
      </w:pPr>
      <w:r>
        <w:rPr>
          <w:rFonts w:ascii="Arial" w:eastAsia="Arial" w:hAnsi="Arial"/>
        </w:rPr>
        <w:t>General exam experience</w:t>
      </w:r>
    </w:p>
    <w:tbl>
      <w:tblPr>
        <w:tblW w:w="5000" w:type="pct"/>
        <w:jc w:val="center"/>
        <w:tblLayout w:type="fixed"/>
        <w:tblLook w:val="04A0" w:firstRow="1" w:lastRow="0" w:firstColumn="1" w:lastColumn="0" w:noHBand="0" w:noVBand="1"/>
      </w:tblPr>
      <w:tblGrid>
        <w:gridCol w:w="3023"/>
        <w:gridCol w:w="1115"/>
        <w:gridCol w:w="6230"/>
      </w:tblGrid>
      <w:tr w:rsidR="001F01EE" w14:paraId="473A0A2B" w14:textId="77777777">
        <w:trPr>
          <w:cantSplit/>
          <w:tblHeader/>
          <w:jc w:val="center"/>
        </w:trPr>
        <w:tc>
          <w:tcPr>
            <w:tcW w:w="2808" w:type="dxa"/>
            <w:tcBorders>
              <w:top w:val="single" w:sz="6" w:space="0" w:color="424242"/>
              <w:left w:val="nil"/>
              <w:bottom w:val="single" w:sz="8" w:space="0" w:color="DB0934"/>
              <w:right w:val="nil"/>
            </w:tcBorders>
            <w:shd w:val="clear" w:color="auto" w:fill="424242"/>
            <w:tcMar>
              <w:top w:w="105" w:type="dxa"/>
              <w:left w:w="110" w:type="dxa"/>
              <w:bottom w:w="105" w:type="dxa"/>
              <w:right w:w="110" w:type="dxa"/>
            </w:tcMar>
          </w:tcPr>
          <w:p w14:paraId="0073CCDE" w14:textId="77777777" w:rsidR="001F01EE" w:rsidRDefault="00000000">
            <w:r>
              <w:rPr>
                <w:b/>
                <w:color w:val="FFFFFF"/>
                <w:sz w:val="15"/>
              </w:rPr>
              <w:t>AREA / FINDING</w:t>
            </w:r>
          </w:p>
        </w:tc>
        <w:tc>
          <w:tcPr>
            <w:tcW w:w="1036" w:type="dxa"/>
            <w:tcBorders>
              <w:top w:val="single" w:sz="6" w:space="0" w:color="424242"/>
              <w:left w:val="nil"/>
              <w:bottom w:val="single" w:sz="8" w:space="0" w:color="DB0934"/>
              <w:right w:val="nil"/>
            </w:tcBorders>
            <w:shd w:val="clear" w:color="auto" w:fill="424242"/>
            <w:tcMar>
              <w:top w:w="105" w:type="dxa"/>
              <w:left w:w="110" w:type="dxa"/>
              <w:bottom w:w="105" w:type="dxa"/>
              <w:right w:w="110" w:type="dxa"/>
            </w:tcMar>
          </w:tcPr>
          <w:p w14:paraId="75871BEA" w14:textId="77777777" w:rsidR="001F01EE" w:rsidRDefault="00000000">
            <w:pPr>
              <w:jc w:val="center"/>
            </w:pPr>
            <w:r>
              <w:rPr>
                <w:b/>
                <w:color w:val="FFFFFF"/>
                <w:sz w:val="15"/>
              </w:rPr>
              <w:t>SHARE</w:t>
            </w:r>
          </w:p>
        </w:tc>
        <w:tc>
          <w:tcPr>
            <w:tcW w:w="5788" w:type="dxa"/>
            <w:tcBorders>
              <w:top w:val="single" w:sz="6" w:space="0" w:color="424242"/>
              <w:left w:val="nil"/>
              <w:bottom w:val="single" w:sz="8" w:space="0" w:color="DB0934"/>
              <w:right w:val="nil"/>
            </w:tcBorders>
            <w:shd w:val="clear" w:color="auto" w:fill="424242"/>
            <w:tcMar>
              <w:top w:w="105" w:type="dxa"/>
              <w:left w:w="110" w:type="dxa"/>
              <w:bottom w:w="105" w:type="dxa"/>
              <w:right w:w="110" w:type="dxa"/>
            </w:tcMar>
          </w:tcPr>
          <w:p w14:paraId="5B46D3D9" w14:textId="77777777" w:rsidR="001F01EE" w:rsidRDefault="00000000">
            <w:r>
              <w:rPr>
                <w:b/>
                <w:color w:val="FFFFFF"/>
                <w:sz w:val="15"/>
              </w:rPr>
              <w:t>INTERPRETATION</w:t>
            </w:r>
          </w:p>
        </w:tc>
      </w:tr>
      <w:tr w:rsidR="001F01EE" w14:paraId="582D9E42" w14:textId="77777777">
        <w:trPr>
          <w:cantSplit/>
          <w:jc w:val="center"/>
        </w:trPr>
        <w:tc>
          <w:tcPr>
            <w:tcW w:w="2808" w:type="dxa"/>
            <w:tcBorders>
              <w:top w:val="single" w:sz="4" w:space="0" w:color="EFEFEF"/>
              <w:left w:val="nil"/>
              <w:bottom w:val="single" w:sz="4" w:space="0" w:color="EFEFEF"/>
              <w:right w:val="nil"/>
            </w:tcBorders>
            <w:shd w:val="clear" w:color="auto" w:fill="FFFFFF"/>
            <w:tcMar>
              <w:top w:w="95" w:type="dxa"/>
              <w:left w:w="110" w:type="dxa"/>
              <w:bottom w:w="95" w:type="dxa"/>
              <w:right w:w="110" w:type="dxa"/>
            </w:tcMar>
          </w:tcPr>
          <w:p w14:paraId="18A4E166" w14:textId="77777777" w:rsidR="001F01EE" w:rsidRDefault="00000000">
            <w:r>
              <w:rPr>
                <w:b/>
                <w:sz w:val="17"/>
              </w:rPr>
              <w:t>Fair, easy, manageable or straightforward</w:t>
            </w:r>
          </w:p>
        </w:tc>
        <w:tc>
          <w:tcPr>
            <w:tcW w:w="1036" w:type="dxa"/>
            <w:tcBorders>
              <w:top w:val="single" w:sz="4" w:space="0" w:color="EFEFEF"/>
              <w:left w:val="nil"/>
              <w:bottom w:val="single" w:sz="4" w:space="0" w:color="EFEFEF"/>
              <w:right w:val="nil"/>
            </w:tcBorders>
            <w:shd w:val="clear" w:color="auto" w:fill="FFFFFF"/>
            <w:tcMar>
              <w:top w:w="95" w:type="dxa"/>
              <w:left w:w="110" w:type="dxa"/>
              <w:bottom w:w="95" w:type="dxa"/>
              <w:right w:w="110" w:type="dxa"/>
            </w:tcMar>
          </w:tcPr>
          <w:p w14:paraId="0867CE5D" w14:textId="77777777" w:rsidR="001F01EE" w:rsidRDefault="00000000">
            <w:pPr>
              <w:jc w:val="center"/>
            </w:pPr>
            <w:r>
              <w:rPr>
                <w:b/>
                <w:color w:val="DB0934"/>
                <w:sz w:val="20"/>
              </w:rPr>
              <w:t>57%</w:t>
            </w:r>
          </w:p>
        </w:tc>
        <w:tc>
          <w:tcPr>
            <w:tcW w:w="5788" w:type="dxa"/>
            <w:tcBorders>
              <w:top w:val="single" w:sz="4" w:space="0" w:color="EFEFEF"/>
              <w:left w:val="nil"/>
              <w:bottom w:val="single" w:sz="4" w:space="0" w:color="EFEFEF"/>
              <w:right w:val="nil"/>
            </w:tcBorders>
            <w:shd w:val="clear" w:color="auto" w:fill="FFFFFF"/>
            <w:tcMar>
              <w:top w:w="95" w:type="dxa"/>
              <w:left w:w="110" w:type="dxa"/>
              <w:bottom w:w="95" w:type="dxa"/>
              <w:right w:w="110" w:type="dxa"/>
            </w:tcMar>
          </w:tcPr>
          <w:p w14:paraId="11648421" w14:textId="77777777" w:rsidR="001F01EE" w:rsidRDefault="00000000">
            <w:pPr>
              <w:spacing w:line="250" w:lineRule="auto"/>
            </w:pPr>
            <w:r>
              <w:rPr>
                <w:sz w:val="17"/>
              </w:rPr>
              <w:t>Within the manageability/difficulty theme, most comments were broadly positive. This means that although the exam often generated comments about workload or fairness, many of those comments still described the paper as manageable.</w:t>
            </w:r>
          </w:p>
        </w:tc>
      </w:tr>
      <w:tr w:rsidR="001F01EE" w14:paraId="30E35178" w14:textId="77777777">
        <w:trPr>
          <w:cantSplit/>
          <w:jc w:val="center"/>
        </w:trPr>
        <w:tc>
          <w:tcPr>
            <w:tcW w:w="2808" w:type="dxa"/>
            <w:tcBorders>
              <w:top w:val="single" w:sz="4" w:space="0" w:color="EFEFEF"/>
              <w:left w:val="nil"/>
              <w:bottom w:val="single" w:sz="4" w:space="0" w:color="EFEFEF"/>
              <w:right w:val="nil"/>
            </w:tcBorders>
            <w:shd w:val="clear" w:color="auto" w:fill="FBFBFB"/>
            <w:tcMar>
              <w:top w:w="95" w:type="dxa"/>
              <w:left w:w="110" w:type="dxa"/>
              <w:bottom w:w="95" w:type="dxa"/>
              <w:right w:w="110" w:type="dxa"/>
            </w:tcMar>
          </w:tcPr>
          <w:p w14:paraId="691D33A0" w14:textId="77777777" w:rsidR="001F01EE" w:rsidRDefault="00000000">
            <w:r>
              <w:rPr>
                <w:b/>
                <w:sz w:val="17"/>
              </w:rPr>
              <w:t>Mixed comments: positive wording plus difficulty, stress or time pressure</w:t>
            </w:r>
          </w:p>
        </w:tc>
        <w:tc>
          <w:tcPr>
            <w:tcW w:w="1036" w:type="dxa"/>
            <w:tcBorders>
              <w:top w:val="single" w:sz="4" w:space="0" w:color="EFEFEF"/>
              <w:left w:val="nil"/>
              <w:bottom w:val="single" w:sz="4" w:space="0" w:color="EFEFEF"/>
              <w:right w:val="nil"/>
            </w:tcBorders>
            <w:shd w:val="clear" w:color="auto" w:fill="FBFBFB"/>
            <w:tcMar>
              <w:top w:w="95" w:type="dxa"/>
              <w:left w:w="110" w:type="dxa"/>
              <w:bottom w:w="95" w:type="dxa"/>
              <w:right w:w="110" w:type="dxa"/>
            </w:tcMar>
          </w:tcPr>
          <w:p w14:paraId="20525F50" w14:textId="77777777" w:rsidR="001F01EE" w:rsidRDefault="00000000">
            <w:pPr>
              <w:jc w:val="center"/>
            </w:pPr>
            <w:r>
              <w:rPr>
                <w:b/>
                <w:color w:val="DB0934"/>
                <w:sz w:val="20"/>
              </w:rPr>
              <w:t>19%</w:t>
            </w:r>
          </w:p>
        </w:tc>
        <w:tc>
          <w:tcPr>
            <w:tcW w:w="5788" w:type="dxa"/>
            <w:tcBorders>
              <w:top w:val="single" w:sz="4" w:space="0" w:color="EFEFEF"/>
              <w:left w:val="nil"/>
              <w:bottom w:val="single" w:sz="4" w:space="0" w:color="EFEFEF"/>
              <w:right w:val="nil"/>
            </w:tcBorders>
            <w:shd w:val="clear" w:color="auto" w:fill="FBFBFB"/>
            <w:tcMar>
              <w:top w:w="95" w:type="dxa"/>
              <w:left w:w="110" w:type="dxa"/>
              <w:bottom w:w="95" w:type="dxa"/>
              <w:right w:w="110" w:type="dxa"/>
            </w:tcMar>
          </w:tcPr>
          <w:p w14:paraId="131F3FE8" w14:textId="77777777" w:rsidR="001F01EE" w:rsidRDefault="00000000">
            <w:pPr>
              <w:spacing w:line="250" w:lineRule="auto"/>
            </w:pPr>
            <w:r>
              <w:rPr>
                <w:sz w:val="17"/>
              </w:rPr>
              <w:t>Some candidates gave a balanced view: the paper was not necessarily unfair, but it still involved pressure, calculation load or difficult elements.</w:t>
            </w:r>
          </w:p>
        </w:tc>
      </w:tr>
      <w:tr w:rsidR="001F01EE" w14:paraId="36CD2353" w14:textId="77777777">
        <w:trPr>
          <w:cantSplit/>
          <w:jc w:val="center"/>
        </w:trPr>
        <w:tc>
          <w:tcPr>
            <w:tcW w:w="2808" w:type="dxa"/>
            <w:tcBorders>
              <w:top w:val="single" w:sz="4" w:space="0" w:color="EFEFEF"/>
              <w:left w:val="nil"/>
              <w:bottom w:val="single" w:sz="4" w:space="0" w:color="EFEFEF"/>
              <w:right w:val="nil"/>
            </w:tcBorders>
            <w:shd w:val="clear" w:color="auto" w:fill="FFFFFF"/>
            <w:tcMar>
              <w:top w:w="95" w:type="dxa"/>
              <w:left w:w="110" w:type="dxa"/>
              <w:bottom w:w="95" w:type="dxa"/>
              <w:right w:w="110" w:type="dxa"/>
            </w:tcMar>
          </w:tcPr>
          <w:p w14:paraId="1BB92630" w14:textId="77777777" w:rsidR="001F01EE" w:rsidRDefault="00000000">
            <w:r>
              <w:rPr>
                <w:b/>
                <w:sz w:val="17"/>
              </w:rPr>
              <w:t>Difficult, stressful or time-consuming</w:t>
            </w:r>
          </w:p>
        </w:tc>
        <w:tc>
          <w:tcPr>
            <w:tcW w:w="1036" w:type="dxa"/>
            <w:tcBorders>
              <w:top w:val="single" w:sz="4" w:space="0" w:color="EFEFEF"/>
              <w:left w:val="nil"/>
              <w:bottom w:val="single" w:sz="4" w:space="0" w:color="EFEFEF"/>
              <w:right w:val="nil"/>
            </w:tcBorders>
            <w:shd w:val="clear" w:color="auto" w:fill="FFFFFF"/>
            <w:tcMar>
              <w:top w:w="95" w:type="dxa"/>
              <w:left w:w="110" w:type="dxa"/>
              <w:bottom w:w="95" w:type="dxa"/>
              <w:right w:w="110" w:type="dxa"/>
            </w:tcMar>
          </w:tcPr>
          <w:p w14:paraId="28FABEC1" w14:textId="77777777" w:rsidR="001F01EE" w:rsidRDefault="00000000">
            <w:pPr>
              <w:jc w:val="center"/>
            </w:pPr>
            <w:r>
              <w:rPr>
                <w:b/>
                <w:color w:val="DB0934"/>
                <w:sz w:val="20"/>
              </w:rPr>
              <w:t>24%</w:t>
            </w:r>
          </w:p>
        </w:tc>
        <w:tc>
          <w:tcPr>
            <w:tcW w:w="5788" w:type="dxa"/>
            <w:tcBorders>
              <w:top w:val="single" w:sz="4" w:space="0" w:color="EFEFEF"/>
              <w:left w:val="nil"/>
              <w:bottom w:val="single" w:sz="4" w:space="0" w:color="EFEFEF"/>
              <w:right w:val="nil"/>
            </w:tcBorders>
            <w:shd w:val="clear" w:color="auto" w:fill="FFFFFF"/>
            <w:tcMar>
              <w:top w:w="95" w:type="dxa"/>
              <w:left w:w="110" w:type="dxa"/>
              <w:bottom w:w="95" w:type="dxa"/>
              <w:right w:w="110" w:type="dxa"/>
            </w:tcMar>
          </w:tcPr>
          <w:p w14:paraId="3674B83F" w14:textId="77777777" w:rsidR="001F01EE" w:rsidRDefault="00000000">
            <w:pPr>
              <w:spacing w:line="250" w:lineRule="auto"/>
            </w:pPr>
            <w:r>
              <w:rPr>
                <w:sz w:val="17"/>
              </w:rPr>
              <w:t>A quarter of all reports that commented on exam experience described the exam negatively. This suggests that the same paper type may feel manageable to some candidates but demanding to others, especially under time pressure.</w:t>
            </w:r>
          </w:p>
        </w:tc>
      </w:tr>
    </w:tbl>
    <w:p w14:paraId="76D10A34" w14:textId="77777777" w:rsidR="001F01EE" w:rsidRDefault="001F01EE">
      <w:pPr>
        <w:spacing w:after="60"/>
      </w:pPr>
    </w:p>
    <w:p w14:paraId="4C81720A" w14:textId="77777777" w:rsidR="001F01EE" w:rsidRDefault="00000000">
      <w:pPr>
        <w:pStyle w:val="Heading2"/>
        <w:pBdr>
          <w:bottom w:val="single" w:sz="18" w:space="6" w:color="DB0934"/>
        </w:pBdr>
      </w:pPr>
      <w:r>
        <w:rPr>
          <w:rFonts w:ascii="Arial" w:eastAsia="Arial" w:hAnsi="Arial"/>
        </w:rPr>
        <w:t>Calculation-heavy exam experience</w:t>
      </w:r>
    </w:p>
    <w:tbl>
      <w:tblPr>
        <w:tblW w:w="5000" w:type="pct"/>
        <w:jc w:val="center"/>
        <w:tblLayout w:type="fixed"/>
        <w:tblLook w:val="04A0" w:firstRow="1" w:lastRow="0" w:firstColumn="1" w:lastColumn="0" w:noHBand="0" w:noVBand="1"/>
      </w:tblPr>
      <w:tblGrid>
        <w:gridCol w:w="3023"/>
        <w:gridCol w:w="1115"/>
        <w:gridCol w:w="6230"/>
      </w:tblGrid>
      <w:tr w:rsidR="001F01EE" w14:paraId="50A6DDD9" w14:textId="77777777">
        <w:trPr>
          <w:cantSplit/>
          <w:tblHeader/>
          <w:jc w:val="center"/>
        </w:trPr>
        <w:tc>
          <w:tcPr>
            <w:tcW w:w="2808" w:type="dxa"/>
            <w:tcBorders>
              <w:top w:val="single" w:sz="6" w:space="0" w:color="424242"/>
              <w:left w:val="nil"/>
              <w:bottom w:val="single" w:sz="8" w:space="0" w:color="DB0934"/>
              <w:right w:val="nil"/>
            </w:tcBorders>
            <w:shd w:val="clear" w:color="auto" w:fill="424242"/>
            <w:tcMar>
              <w:top w:w="105" w:type="dxa"/>
              <w:left w:w="110" w:type="dxa"/>
              <w:bottom w:w="105" w:type="dxa"/>
              <w:right w:w="110" w:type="dxa"/>
            </w:tcMar>
          </w:tcPr>
          <w:p w14:paraId="1D00BAEF" w14:textId="77777777" w:rsidR="001F01EE" w:rsidRDefault="00000000">
            <w:r>
              <w:rPr>
                <w:b/>
                <w:color w:val="FFFFFF"/>
                <w:sz w:val="15"/>
              </w:rPr>
              <w:t>AREA / FINDING</w:t>
            </w:r>
          </w:p>
        </w:tc>
        <w:tc>
          <w:tcPr>
            <w:tcW w:w="1036" w:type="dxa"/>
            <w:tcBorders>
              <w:top w:val="single" w:sz="6" w:space="0" w:color="424242"/>
              <w:left w:val="nil"/>
              <w:bottom w:val="single" w:sz="8" w:space="0" w:color="DB0934"/>
              <w:right w:val="nil"/>
            </w:tcBorders>
            <w:shd w:val="clear" w:color="auto" w:fill="424242"/>
            <w:tcMar>
              <w:top w:w="105" w:type="dxa"/>
              <w:left w:w="110" w:type="dxa"/>
              <w:bottom w:w="105" w:type="dxa"/>
              <w:right w:w="110" w:type="dxa"/>
            </w:tcMar>
          </w:tcPr>
          <w:p w14:paraId="4010195F" w14:textId="77777777" w:rsidR="001F01EE" w:rsidRDefault="00000000">
            <w:pPr>
              <w:jc w:val="center"/>
            </w:pPr>
            <w:r>
              <w:rPr>
                <w:b/>
                <w:color w:val="FFFFFF"/>
                <w:sz w:val="15"/>
              </w:rPr>
              <w:t>SHARE</w:t>
            </w:r>
          </w:p>
        </w:tc>
        <w:tc>
          <w:tcPr>
            <w:tcW w:w="5788" w:type="dxa"/>
            <w:tcBorders>
              <w:top w:val="single" w:sz="6" w:space="0" w:color="424242"/>
              <w:left w:val="nil"/>
              <w:bottom w:val="single" w:sz="8" w:space="0" w:color="DB0934"/>
              <w:right w:val="nil"/>
            </w:tcBorders>
            <w:shd w:val="clear" w:color="auto" w:fill="424242"/>
            <w:tcMar>
              <w:top w:w="105" w:type="dxa"/>
              <w:left w:w="110" w:type="dxa"/>
              <w:bottom w:w="105" w:type="dxa"/>
              <w:right w:w="110" w:type="dxa"/>
            </w:tcMar>
          </w:tcPr>
          <w:p w14:paraId="44AA3458" w14:textId="77777777" w:rsidR="001F01EE" w:rsidRDefault="00000000">
            <w:r>
              <w:rPr>
                <w:b/>
                <w:color w:val="FFFFFF"/>
                <w:sz w:val="15"/>
              </w:rPr>
              <w:t>INTERPRETATION</w:t>
            </w:r>
          </w:p>
        </w:tc>
      </w:tr>
      <w:tr w:rsidR="001F01EE" w14:paraId="27D78C1A" w14:textId="77777777">
        <w:trPr>
          <w:cantSplit/>
          <w:jc w:val="center"/>
        </w:trPr>
        <w:tc>
          <w:tcPr>
            <w:tcW w:w="2808" w:type="dxa"/>
            <w:tcBorders>
              <w:top w:val="single" w:sz="4" w:space="0" w:color="EFEFEF"/>
              <w:left w:val="nil"/>
              <w:bottom w:val="single" w:sz="4" w:space="0" w:color="EFEFEF"/>
              <w:right w:val="nil"/>
            </w:tcBorders>
            <w:shd w:val="clear" w:color="auto" w:fill="FFFFFF"/>
            <w:tcMar>
              <w:top w:w="95" w:type="dxa"/>
              <w:left w:w="110" w:type="dxa"/>
              <w:bottom w:w="95" w:type="dxa"/>
              <w:right w:w="110" w:type="dxa"/>
            </w:tcMar>
          </w:tcPr>
          <w:p w14:paraId="2C99AB6B" w14:textId="77777777" w:rsidR="001F01EE" w:rsidRDefault="00000000">
            <w:r>
              <w:rPr>
                <w:b/>
                <w:sz w:val="17"/>
              </w:rPr>
              <w:t>Fuel policy content</w:t>
            </w:r>
          </w:p>
        </w:tc>
        <w:tc>
          <w:tcPr>
            <w:tcW w:w="1036" w:type="dxa"/>
            <w:tcBorders>
              <w:top w:val="single" w:sz="4" w:space="0" w:color="EFEFEF"/>
              <w:left w:val="nil"/>
              <w:bottom w:val="single" w:sz="4" w:space="0" w:color="EFEFEF"/>
              <w:right w:val="nil"/>
            </w:tcBorders>
            <w:shd w:val="clear" w:color="auto" w:fill="FFFFFF"/>
            <w:tcMar>
              <w:top w:w="95" w:type="dxa"/>
              <w:left w:w="110" w:type="dxa"/>
              <w:bottom w:w="95" w:type="dxa"/>
              <w:right w:w="110" w:type="dxa"/>
            </w:tcMar>
          </w:tcPr>
          <w:p w14:paraId="1E51FCB1" w14:textId="77777777" w:rsidR="001F01EE" w:rsidRDefault="00000000">
            <w:pPr>
              <w:jc w:val="center"/>
            </w:pPr>
            <w:r>
              <w:rPr>
                <w:b/>
                <w:color w:val="DB0934"/>
                <w:sz w:val="20"/>
              </w:rPr>
              <w:t>89%</w:t>
            </w:r>
          </w:p>
        </w:tc>
        <w:tc>
          <w:tcPr>
            <w:tcW w:w="5788" w:type="dxa"/>
            <w:tcBorders>
              <w:top w:val="single" w:sz="4" w:space="0" w:color="EFEFEF"/>
              <w:left w:val="nil"/>
              <w:bottom w:val="single" w:sz="4" w:space="0" w:color="EFEFEF"/>
              <w:right w:val="nil"/>
            </w:tcBorders>
            <w:shd w:val="clear" w:color="auto" w:fill="FFFFFF"/>
            <w:tcMar>
              <w:top w:w="95" w:type="dxa"/>
              <w:left w:w="110" w:type="dxa"/>
              <w:bottom w:w="95" w:type="dxa"/>
              <w:right w:w="110" w:type="dxa"/>
            </w:tcMar>
          </w:tcPr>
          <w:p w14:paraId="4A57DD74" w14:textId="77777777" w:rsidR="001F01EE" w:rsidRDefault="00000000">
            <w:pPr>
              <w:spacing w:line="250" w:lineRule="auto"/>
            </w:pPr>
            <w:r>
              <w:rPr>
                <w:sz w:val="17"/>
              </w:rPr>
              <w:t>Where candidates described the exam as calculation-heavy, fuel policy was overwhelmingly the main context. T</w:t>
            </w:r>
          </w:p>
        </w:tc>
      </w:tr>
      <w:tr w:rsidR="001F01EE" w14:paraId="7858C8AB" w14:textId="77777777">
        <w:trPr>
          <w:cantSplit/>
          <w:jc w:val="center"/>
        </w:trPr>
        <w:tc>
          <w:tcPr>
            <w:tcW w:w="2808" w:type="dxa"/>
            <w:tcBorders>
              <w:top w:val="single" w:sz="4" w:space="0" w:color="EFEFEF"/>
              <w:left w:val="nil"/>
              <w:bottom w:val="single" w:sz="4" w:space="0" w:color="EFEFEF"/>
              <w:right w:val="nil"/>
            </w:tcBorders>
            <w:shd w:val="clear" w:color="auto" w:fill="FBFBFB"/>
            <w:tcMar>
              <w:top w:w="95" w:type="dxa"/>
              <w:left w:w="110" w:type="dxa"/>
              <w:bottom w:w="95" w:type="dxa"/>
              <w:right w:w="110" w:type="dxa"/>
            </w:tcMar>
          </w:tcPr>
          <w:p w14:paraId="13267693" w14:textId="77777777" w:rsidR="001F01EE" w:rsidRDefault="00000000">
            <w:r>
              <w:rPr>
                <w:b/>
                <w:sz w:val="17"/>
              </w:rPr>
              <w:t>Chart, annex or plate content</w:t>
            </w:r>
          </w:p>
        </w:tc>
        <w:tc>
          <w:tcPr>
            <w:tcW w:w="1036" w:type="dxa"/>
            <w:tcBorders>
              <w:top w:val="single" w:sz="4" w:space="0" w:color="EFEFEF"/>
              <w:left w:val="nil"/>
              <w:bottom w:val="single" w:sz="4" w:space="0" w:color="EFEFEF"/>
              <w:right w:val="nil"/>
            </w:tcBorders>
            <w:shd w:val="clear" w:color="auto" w:fill="FBFBFB"/>
            <w:tcMar>
              <w:top w:w="95" w:type="dxa"/>
              <w:left w:w="110" w:type="dxa"/>
              <w:bottom w:w="95" w:type="dxa"/>
              <w:right w:w="110" w:type="dxa"/>
            </w:tcMar>
          </w:tcPr>
          <w:p w14:paraId="459F9090" w14:textId="77777777" w:rsidR="001F01EE" w:rsidRDefault="00000000">
            <w:pPr>
              <w:jc w:val="center"/>
            </w:pPr>
            <w:r>
              <w:rPr>
                <w:b/>
                <w:color w:val="DB0934"/>
                <w:sz w:val="20"/>
              </w:rPr>
              <w:t>59%</w:t>
            </w:r>
          </w:p>
        </w:tc>
        <w:tc>
          <w:tcPr>
            <w:tcW w:w="5788" w:type="dxa"/>
            <w:tcBorders>
              <w:top w:val="single" w:sz="4" w:space="0" w:color="EFEFEF"/>
              <w:left w:val="nil"/>
              <w:bottom w:val="single" w:sz="4" w:space="0" w:color="EFEFEF"/>
              <w:right w:val="nil"/>
            </w:tcBorders>
            <w:shd w:val="clear" w:color="auto" w:fill="FBFBFB"/>
            <w:tcMar>
              <w:top w:w="95" w:type="dxa"/>
              <w:left w:w="110" w:type="dxa"/>
              <w:bottom w:w="95" w:type="dxa"/>
              <w:right w:w="110" w:type="dxa"/>
            </w:tcMar>
          </w:tcPr>
          <w:p w14:paraId="1579AFC5" w14:textId="77777777" w:rsidR="001F01EE" w:rsidRDefault="00000000">
            <w:pPr>
              <w:spacing w:line="250" w:lineRule="auto"/>
            </w:pPr>
            <w:r>
              <w:rPr>
                <w:sz w:val="17"/>
              </w:rPr>
              <w:t>While not calculation based, many students reported exams with a heavy concentration of chart-based content.</w:t>
            </w:r>
          </w:p>
        </w:tc>
      </w:tr>
      <w:tr w:rsidR="001F01EE" w14:paraId="6DCBEA80" w14:textId="77777777">
        <w:trPr>
          <w:cantSplit/>
          <w:jc w:val="center"/>
        </w:trPr>
        <w:tc>
          <w:tcPr>
            <w:tcW w:w="2808" w:type="dxa"/>
            <w:tcBorders>
              <w:top w:val="single" w:sz="4" w:space="0" w:color="EFEFEF"/>
              <w:left w:val="nil"/>
              <w:bottom w:val="single" w:sz="4" w:space="0" w:color="EFEFEF"/>
              <w:right w:val="nil"/>
            </w:tcBorders>
            <w:shd w:val="clear" w:color="auto" w:fill="FFFFFF"/>
            <w:tcMar>
              <w:top w:w="95" w:type="dxa"/>
              <w:left w:w="110" w:type="dxa"/>
              <w:bottom w:w="95" w:type="dxa"/>
              <w:right w:w="110" w:type="dxa"/>
            </w:tcMar>
          </w:tcPr>
          <w:p w14:paraId="0117397E" w14:textId="77777777" w:rsidR="001F01EE" w:rsidRDefault="00000000">
            <w:r>
              <w:rPr>
                <w:b/>
                <w:sz w:val="17"/>
              </w:rPr>
              <w:t>Navigation-log/OFP, revised time or fuel-flow content</w:t>
            </w:r>
          </w:p>
        </w:tc>
        <w:tc>
          <w:tcPr>
            <w:tcW w:w="1036" w:type="dxa"/>
            <w:tcBorders>
              <w:top w:val="single" w:sz="4" w:space="0" w:color="EFEFEF"/>
              <w:left w:val="nil"/>
              <w:bottom w:val="single" w:sz="4" w:space="0" w:color="EFEFEF"/>
              <w:right w:val="nil"/>
            </w:tcBorders>
            <w:shd w:val="clear" w:color="auto" w:fill="FFFFFF"/>
            <w:tcMar>
              <w:top w:w="95" w:type="dxa"/>
              <w:left w:w="110" w:type="dxa"/>
              <w:bottom w:w="95" w:type="dxa"/>
              <w:right w:w="110" w:type="dxa"/>
            </w:tcMar>
          </w:tcPr>
          <w:p w14:paraId="73054381" w14:textId="77777777" w:rsidR="001F01EE" w:rsidRDefault="00000000">
            <w:pPr>
              <w:jc w:val="center"/>
            </w:pPr>
            <w:r>
              <w:rPr>
                <w:b/>
                <w:color w:val="DB0934"/>
                <w:sz w:val="20"/>
              </w:rPr>
              <w:t>40%</w:t>
            </w:r>
          </w:p>
        </w:tc>
        <w:tc>
          <w:tcPr>
            <w:tcW w:w="5788" w:type="dxa"/>
            <w:tcBorders>
              <w:top w:val="single" w:sz="4" w:space="0" w:color="EFEFEF"/>
              <w:left w:val="nil"/>
              <w:bottom w:val="single" w:sz="4" w:space="0" w:color="EFEFEF"/>
              <w:right w:val="nil"/>
            </w:tcBorders>
            <w:shd w:val="clear" w:color="auto" w:fill="FFFFFF"/>
            <w:tcMar>
              <w:top w:w="95" w:type="dxa"/>
              <w:left w:w="110" w:type="dxa"/>
              <w:bottom w:w="95" w:type="dxa"/>
              <w:right w:w="110" w:type="dxa"/>
            </w:tcMar>
          </w:tcPr>
          <w:p w14:paraId="2BFB9690" w14:textId="77777777" w:rsidR="001F01EE" w:rsidRDefault="00000000">
            <w:pPr>
              <w:spacing w:line="250" w:lineRule="auto"/>
            </w:pPr>
            <w:r>
              <w:rPr>
                <w:sz w:val="17"/>
              </w:rPr>
              <w:t>A sizeable share of the calculation-heavy feedback related to operational planning calculations, particularly nav-log, OFP, time and fuel-flow work.</w:t>
            </w:r>
          </w:p>
        </w:tc>
      </w:tr>
    </w:tbl>
    <w:p w14:paraId="42F028AF" w14:textId="77777777" w:rsidR="001F01EE" w:rsidRDefault="001F01EE">
      <w:pPr>
        <w:spacing w:after="60"/>
      </w:pPr>
    </w:p>
    <w:p w14:paraId="1255A8E7" w14:textId="77777777" w:rsidR="001F01EE" w:rsidRDefault="00000000">
      <w:pPr>
        <w:pStyle w:val="Heading2"/>
        <w:pBdr>
          <w:bottom w:val="single" w:sz="18" w:space="6" w:color="DB0934"/>
        </w:pBdr>
      </w:pPr>
      <w:r>
        <w:rPr>
          <w:rFonts w:ascii="Arial" w:eastAsia="Arial" w:hAnsi="Arial"/>
        </w:rPr>
        <w:t>Subject patterns: fuel planning</w:t>
      </w:r>
    </w:p>
    <w:tbl>
      <w:tblPr>
        <w:tblW w:w="5000" w:type="pct"/>
        <w:jc w:val="center"/>
        <w:tblLayout w:type="fixed"/>
        <w:tblLook w:val="04A0" w:firstRow="1" w:lastRow="0" w:firstColumn="1" w:lastColumn="0" w:noHBand="0" w:noVBand="1"/>
      </w:tblPr>
      <w:tblGrid>
        <w:gridCol w:w="3023"/>
        <w:gridCol w:w="1115"/>
        <w:gridCol w:w="6230"/>
      </w:tblGrid>
      <w:tr w:rsidR="001F01EE" w14:paraId="451A249A" w14:textId="77777777">
        <w:trPr>
          <w:cantSplit/>
          <w:tblHeader/>
          <w:jc w:val="center"/>
        </w:trPr>
        <w:tc>
          <w:tcPr>
            <w:tcW w:w="2808" w:type="dxa"/>
            <w:tcBorders>
              <w:top w:val="single" w:sz="6" w:space="0" w:color="424242"/>
              <w:left w:val="nil"/>
              <w:bottom w:val="single" w:sz="8" w:space="0" w:color="DB0934"/>
              <w:right w:val="nil"/>
            </w:tcBorders>
            <w:shd w:val="clear" w:color="auto" w:fill="424242"/>
            <w:tcMar>
              <w:top w:w="105" w:type="dxa"/>
              <w:left w:w="110" w:type="dxa"/>
              <w:bottom w:w="105" w:type="dxa"/>
              <w:right w:w="110" w:type="dxa"/>
            </w:tcMar>
          </w:tcPr>
          <w:p w14:paraId="7B3D6BE6" w14:textId="77777777" w:rsidR="001F01EE" w:rsidRDefault="00000000">
            <w:r>
              <w:rPr>
                <w:b/>
                <w:color w:val="FFFFFF"/>
                <w:sz w:val="15"/>
              </w:rPr>
              <w:t>AREA / FINDING</w:t>
            </w:r>
          </w:p>
        </w:tc>
        <w:tc>
          <w:tcPr>
            <w:tcW w:w="1036" w:type="dxa"/>
            <w:tcBorders>
              <w:top w:val="single" w:sz="6" w:space="0" w:color="424242"/>
              <w:left w:val="nil"/>
              <w:bottom w:val="single" w:sz="8" w:space="0" w:color="DB0934"/>
              <w:right w:val="nil"/>
            </w:tcBorders>
            <w:shd w:val="clear" w:color="auto" w:fill="424242"/>
            <w:tcMar>
              <w:top w:w="105" w:type="dxa"/>
              <w:left w:w="110" w:type="dxa"/>
              <w:bottom w:w="105" w:type="dxa"/>
              <w:right w:w="110" w:type="dxa"/>
            </w:tcMar>
          </w:tcPr>
          <w:p w14:paraId="7E61496B" w14:textId="77777777" w:rsidR="001F01EE" w:rsidRDefault="00000000">
            <w:pPr>
              <w:jc w:val="center"/>
            </w:pPr>
            <w:r>
              <w:rPr>
                <w:b/>
                <w:color w:val="FFFFFF"/>
                <w:sz w:val="15"/>
              </w:rPr>
              <w:t>SHARE</w:t>
            </w:r>
          </w:p>
        </w:tc>
        <w:tc>
          <w:tcPr>
            <w:tcW w:w="5788" w:type="dxa"/>
            <w:tcBorders>
              <w:top w:val="single" w:sz="6" w:space="0" w:color="424242"/>
              <w:left w:val="nil"/>
              <w:bottom w:val="single" w:sz="8" w:space="0" w:color="DB0934"/>
              <w:right w:val="nil"/>
            </w:tcBorders>
            <w:shd w:val="clear" w:color="auto" w:fill="424242"/>
            <w:tcMar>
              <w:top w:w="105" w:type="dxa"/>
              <w:left w:w="110" w:type="dxa"/>
              <w:bottom w:w="105" w:type="dxa"/>
              <w:right w:w="110" w:type="dxa"/>
            </w:tcMar>
          </w:tcPr>
          <w:p w14:paraId="754A793E" w14:textId="77777777" w:rsidR="001F01EE" w:rsidRDefault="00000000">
            <w:r>
              <w:rPr>
                <w:b/>
                <w:color w:val="FFFFFF"/>
                <w:sz w:val="15"/>
              </w:rPr>
              <w:t>INTERPRETATION</w:t>
            </w:r>
          </w:p>
        </w:tc>
      </w:tr>
      <w:tr w:rsidR="001F01EE" w14:paraId="0281F02E" w14:textId="77777777">
        <w:trPr>
          <w:cantSplit/>
          <w:jc w:val="center"/>
        </w:trPr>
        <w:tc>
          <w:tcPr>
            <w:tcW w:w="2808" w:type="dxa"/>
            <w:tcBorders>
              <w:top w:val="single" w:sz="4" w:space="0" w:color="EFEFEF"/>
              <w:left w:val="nil"/>
              <w:bottom w:val="single" w:sz="4" w:space="0" w:color="EFEFEF"/>
              <w:right w:val="nil"/>
            </w:tcBorders>
            <w:shd w:val="clear" w:color="auto" w:fill="FFFFFF"/>
            <w:tcMar>
              <w:top w:w="95" w:type="dxa"/>
              <w:left w:w="110" w:type="dxa"/>
              <w:bottom w:w="95" w:type="dxa"/>
              <w:right w:w="110" w:type="dxa"/>
            </w:tcMar>
          </w:tcPr>
          <w:p w14:paraId="16FB0323" w14:textId="77777777" w:rsidR="001F01EE" w:rsidRDefault="00000000">
            <w:r>
              <w:rPr>
                <w:b/>
                <w:sz w:val="17"/>
              </w:rPr>
              <w:t>Fuel planning overall</w:t>
            </w:r>
          </w:p>
        </w:tc>
        <w:tc>
          <w:tcPr>
            <w:tcW w:w="1036" w:type="dxa"/>
            <w:tcBorders>
              <w:top w:val="single" w:sz="4" w:space="0" w:color="EFEFEF"/>
              <w:left w:val="nil"/>
              <w:bottom w:val="single" w:sz="4" w:space="0" w:color="EFEFEF"/>
              <w:right w:val="nil"/>
            </w:tcBorders>
            <w:shd w:val="clear" w:color="auto" w:fill="FFFFFF"/>
            <w:tcMar>
              <w:top w:w="95" w:type="dxa"/>
              <w:left w:w="110" w:type="dxa"/>
              <w:bottom w:w="95" w:type="dxa"/>
              <w:right w:w="110" w:type="dxa"/>
            </w:tcMar>
          </w:tcPr>
          <w:p w14:paraId="36B40B5D" w14:textId="77777777" w:rsidR="001F01EE" w:rsidRDefault="00000000">
            <w:pPr>
              <w:jc w:val="center"/>
            </w:pPr>
            <w:r>
              <w:rPr>
                <w:b/>
                <w:color w:val="DB0934"/>
                <w:sz w:val="20"/>
              </w:rPr>
              <w:t>61%</w:t>
            </w:r>
          </w:p>
        </w:tc>
        <w:tc>
          <w:tcPr>
            <w:tcW w:w="5788" w:type="dxa"/>
            <w:tcBorders>
              <w:top w:val="single" w:sz="4" w:space="0" w:color="EFEFEF"/>
              <w:left w:val="nil"/>
              <w:bottom w:val="single" w:sz="4" w:space="0" w:color="EFEFEF"/>
              <w:right w:val="nil"/>
            </w:tcBorders>
            <w:shd w:val="clear" w:color="auto" w:fill="FFFFFF"/>
            <w:tcMar>
              <w:top w:w="95" w:type="dxa"/>
              <w:left w:w="110" w:type="dxa"/>
              <w:bottom w:w="95" w:type="dxa"/>
              <w:right w:w="110" w:type="dxa"/>
            </w:tcMar>
          </w:tcPr>
          <w:p w14:paraId="3424CAB9" w14:textId="77777777" w:rsidR="001F01EE" w:rsidRDefault="00000000">
            <w:pPr>
              <w:spacing w:line="250" w:lineRule="auto"/>
            </w:pPr>
            <w:r>
              <w:rPr>
                <w:sz w:val="17"/>
              </w:rPr>
              <w:t xml:space="preserve">Fuel planning was the most prominent subject theme mentioned across all comments. </w:t>
            </w:r>
          </w:p>
        </w:tc>
      </w:tr>
      <w:tr w:rsidR="001F01EE" w14:paraId="1220FACF" w14:textId="77777777">
        <w:trPr>
          <w:cantSplit/>
          <w:jc w:val="center"/>
        </w:trPr>
        <w:tc>
          <w:tcPr>
            <w:tcW w:w="2808" w:type="dxa"/>
            <w:tcBorders>
              <w:top w:val="single" w:sz="4" w:space="0" w:color="EFEFEF"/>
              <w:left w:val="nil"/>
              <w:bottom w:val="single" w:sz="4" w:space="0" w:color="EFEFEF"/>
              <w:right w:val="nil"/>
            </w:tcBorders>
            <w:shd w:val="clear" w:color="auto" w:fill="FBFBFB"/>
            <w:tcMar>
              <w:top w:w="95" w:type="dxa"/>
              <w:left w:w="110" w:type="dxa"/>
              <w:bottom w:w="95" w:type="dxa"/>
              <w:right w:w="110" w:type="dxa"/>
            </w:tcMar>
          </w:tcPr>
          <w:p w14:paraId="4DE7C770" w14:textId="77777777" w:rsidR="001F01EE" w:rsidRDefault="00000000">
            <w:r>
              <w:rPr>
                <w:b/>
                <w:sz w:val="17"/>
              </w:rPr>
              <w:t>PSR, PET, RCF or PDP</w:t>
            </w:r>
          </w:p>
        </w:tc>
        <w:tc>
          <w:tcPr>
            <w:tcW w:w="1036" w:type="dxa"/>
            <w:tcBorders>
              <w:top w:val="single" w:sz="4" w:space="0" w:color="EFEFEF"/>
              <w:left w:val="nil"/>
              <w:bottom w:val="single" w:sz="4" w:space="0" w:color="EFEFEF"/>
              <w:right w:val="nil"/>
            </w:tcBorders>
            <w:shd w:val="clear" w:color="auto" w:fill="FBFBFB"/>
            <w:tcMar>
              <w:top w:w="95" w:type="dxa"/>
              <w:left w:w="110" w:type="dxa"/>
              <w:bottom w:w="95" w:type="dxa"/>
              <w:right w:w="110" w:type="dxa"/>
            </w:tcMar>
          </w:tcPr>
          <w:p w14:paraId="4FDAEC68" w14:textId="77777777" w:rsidR="001F01EE" w:rsidRDefault="00000000">
            <w:pPr>
              <w:jc w:val="center"/>
            </w:pPr>
            <w:r>
              <w:rPr>
                <w:b/>
                <w:color w:val="DB0934"/>
                <w:sz w:val="20"/>
              </w:rPr>
              <w:t>41%</w:t>
            </w:r>
          </w:p>
        </w:tc>
        <w:tc>
          <w:tcPr>
            <w:tcW w:w="5788" w:type="dxa"/>
            <w:tcBorders>
              <w:top w:val="single" w:sz="4" w:space="0" w:color="EFEFEF"/>
              <w:left w:val="nil"/>
              <w:bottom w:val="single" w:sz="4" w:space="0" w:color="EFEFEF"/>
              <w:right w:val="nil"/>
            </w:tcBorders>
            <w:shd w:val="clear" w:color="auto" w:fill="FBFBFB"/>
            <w:tcMar>
              <w:top w:w="95" w:type="dxa"/>
              <w:left w:w="110" w:type="dxa"/>
              <w:bottom w:w="95" w:type="dxa"/>
              <w:right w:w="110" w:type="dxa"/>
            </w:tcMar>
          </w:tcPr>
          <w:p w14:paraId="1CAC1EA9" w14:textId="77777777" w:rsidR="001F01EE" w:rsidRDefault="00000000">
            <w:pPr>
              <w:spacing w:line="250" w:lineRule="auto"/>
            </w:pPr>
            <w:r>
              <w:rPr>
                <w:sz w:val="17"/>
              </w:rPr>
              <w:t xml:space="preserve">These named items were mainly reported as absent or limited, not as frequent appearances. </w:t>
            </w:r>
          </w:p>
        </w:tc>
      </w:tr>
      <w:tr w:rsidR="001F01EE" w14:paraId="70BFE463" w14:textId="77777777">
        <w:trPr>
          <w:cantSplit/>
          <w:jc w:val="center"/>
        </w:trPr>
        <w:tc>
          <w:tcPr>
            <w:tcW w:w="2808" w:type="dxa"/>
            <w:tcBorders>
              <w:top w:val="single" w:sz="4" w:space="0" w:color="EFEFEF"/>
              <w:left w:val="nil"/>
              <w:bottom w:val="single" w:sz="4" w:space="0" w:color="EFEFEF"/>
              <w:right w:val="nil"/>
            </w:tcBorders>
            <w:shd w:val="clear" w:color="auto" w:fill="FFFFFF"/>
            <w:tcMar>
              <w:top w:w="95" w:type="dxa"/>
              <w:left w:w="110" w:type="dxa"/>
              <w:bottom w:w="95" w:type="dxa"/>
              <w:right w:w="110" w:type="dxa"/>
            </w:tcMar>
          </w:tcPr>
          <w:p w14:paraId="1642A0A2" w14:textId="77777777" w:rsidR="001F01EE" w:rsidRDefault="00000000">
            <w:r>
              <w:rPr>
                <w:b/>
                <w:sz w:val="17"/>
              </w:rPr>
              <w:t>Navigation-log/OFP fuel or time calculations</w:t>
            </w:r>
          </w:p>
        </w:tc>
        <w:tc>
          <w:tcPr>
            <w:tcW w:w="1036" w:type="dxa"/>
            <w:tcBorders>
              <w:top w:val="single" w:sz="4" w:space="0" w:color="EFEFEF"/>
              <w:left w:val="nil"/>
              <w:bottom w:val="single" w:sz="4" w:space="0" w:color="EFEFEF"/>
              <w:right w:val="nil"/>
            </w:tcBorders>
            <w:shd w:val="clear" w:color="auto" w:fill="FFFFFF"/>
            <w:tcMar>
              <w:top w:w="95" w:type="dxa"/>
              <w:left w:w="110" w:type="dxa"/>
              <w:bottom w:w="95" w:type="dxa"/>
              <w:right w:w="110" w:type="dxa"/>
            </w:tcMar>
          </w:tcPr>
          <w:p w14:paraId="15191AA1" w14:textId="77777777" w:rsidR="001F01EE" w:rsidRDefault="00000000">
            <w:pPr>
              <w:jc w:val="center"/>
            </w:pPr>
            <w:r>
              <w:rPr>
                <w:b/>
                <w:color w:val="DB0934"/>
                <w:sz w:val="20"/>
              </w:rPr>
              <w:t>37%</w:t>
            </w:r>
          </w:p>
        </w:tc>
        <w:tc>
          <w:tcPr>
            <w:tcW w:w="5788" w:type="dxa"/>
            <w:tcBorders>
              <w:top w:val="single" w:sz="4" w:space="0" w:color="EFEFEF"/>
              <w:left w:val="nil"/>
              <w:bottom w:val="single" w:sz="4" w:space="0" w:color="EFEFEF"/>
              <w:right w:val="nil"/>
            </w:tcBorders>
            <w:shd w:val="clear" w:color="auto" w:fill="FFFFFF"/>
            <w:tcMar>
              <w:top w:w="95" w:type="dxa"/>
              <w:left w:w="110" w:type="dxa"/>
              <w:bottom w:w="95" w:type="dxa"/>
              <w:right w:w="110" w:type="dxa"/>
            </w:tcMar>
          </w:tcPr>
          <w:p w14:paraId="7F1F59AB" w14:textId="77777777" w:rsidR="001F01EE" w:rsidRDefault="00000000">
            <w:pPr>
              <w:spacing w:line="250" w:lineRule="auto"/>
            </w:pPr>
            <w:r>
              <w:rPr>
                <w:sz w:val="17"/>
              </w:rPr>
              <w:t>These were a regular feature within the fuel-planning feedback.</w:t>
            </w:r>
          </w:p>
        </w:tc>
      </w:tr>
      <w:tr w:rsidR="001F01EE" w14:paraId="1C34952A" w14:textId="77777777">
        <w:trPr>
          <w:cantSplit/>
          <w:jc w:val="center"/>
        </w:trPr>
        <w:tc>
          <w:tcPr>
            <w:tcW w:w="2808" w:type="dxa"/>
            <w:tcBorders>
              <w:top w:val="single" w:sz="4" w:space="0" w:color="EFEFEF"/>
              <w:left w:val="nil"/>
              <w:bottom w:val="single" w:sz="4" w:space="0" w:color="EFEFEF"/>
              <w:right w:val="nil"/>
            </w:tcBorders>
            <w:shd w:val="clear" w:color="auto" w:fill="FBFBFB"/>
            <w:tcMar>
              <w:top w:w="95" w:type="dxa"/>
              <w:left w:w="110" w:type="dxa"/>
              <w:bottom w:w="95" w:type="dxa"/>
              <w:right w:w="110" w:type="dxa"/>
            </w:tcMar>
          </w:tcPr>
          <w:p w14:paraId="0CA9A021" w14:textId="77777777" w:rsidR="001F01EE" w:rsidRDefault="00000000">
            <w:r>
              <w:rPr>
                <w:b/>
                <w:sz w:val="17"/>
              </w:rPr>
              <w:lastRenderedPageBreak/>
              <w:t>Extra, contingency, final reserve, block, tankering or isolated-aerodrome fuel</w:t>
            </w:r>
          </w:p>
        </w:tc>
        <w:tc>
          <w:tcPr>
            <w:tcW w:w="1036" w:type="dxa"/>
            <w:tcBorders>
              <w:top w:val="single" w:sz="4" w:space="0" w:color="EFEFEF"/>
              <w:left w:val="nil"/>
              <w:bottom w:val="single" w:sz="4" w:space="0" w:color="EFEFEF"/>
              <w:right w:val="nil"/>
            </w:tcBorders>
            <w:shd w:val="clear" w:color="auto" w:fill="FBFBFB"/>
            <w:tcMar>
              <w:top w:w="95" w:type="dxa"/>
              <w:left w:w="110" w:type="dxa"/>
              <w:bottom w:w="95" w:type="dxa"/>
              <w:right w:w="110" w:type="dxa"/>
            </w:tcMar>
          </w:tcPr>
          <w:p w14:paraId="6270D6B2" w14:textId="77777777" w:rsidR="001F01EE" w:rsidRDefault="00000000">
            <w:pPr>
              <w:jc w:val="center"/>
            </w:pPr>
            <w:r>
              <w:rPr>
                <w:b/>
                <w:color w:val="DB0934"/>
                <w:sz w:val="20"/>
              </w:rPr>
              <w:t>35%</w:t>
            </w:r>
          </w:p>
        </w:tc>
        <w:tc>
          <w:tcPr>
            <w:tcW w:w="5788" w:type="dxa"/>
            <w:tcBorders>
              <w:top w:val="single" w:sz="4" w:space="0" w:color="EFEFEF"/>
              <w:left w:val="nil"/>
              <w:bottom w:val="single" w:sz="4" w:space="0" w:color="EFEFEF"/>
              <w:right w:val="nil"/>
            </w:tcBorders>
            <w:shd w:val="clear" w:color="auto" w:fill="FBFBFB"/>
            <w:tcMar>
              <w:top w:w="95" w:type="dxa"/>
              <w:left w:w="110" w:type="dxa"/>
              <w:bottom w:w="95" w:type="dxa"/>
              <w:right w:w="110" w:type="dxa"/>
            </w:tcMar>
          </w:tcPr>
          <w:p w14:paraId="1DE95A29" w14:textId="77777777" w:rsidR="001F01EE" w:rsidRDefault="00000000">
            <w:pPr>
              <w:spacing w:line="250" w:lineRule="auto"/>
            </w:pPr>
            <w:r>
              <w:rPr>
                <w:sz w:val="17"/>
              </w:rPr>
              <w:t>These specific fuel policy terms appeared regularly within the fuel-planning comments.</w:t>
            </w:r>
          </w:p>
        </w:tc>
      </w:tr>
    </w:tbl>
    <w:p w14:paraId="284B1D90" w14:textId="77777777" w:rsidR="001F01EE" w:rsidRDefault="001F01EE">
      <w:pPr>
        <w:spacing w:after="60"/>
      </w:pPr>
    </w:p>
    <w:p w14:paraId="64B9E4B8" w14:textId="77777777" w:rsidR="001F01EE" w:rsidRDefault="00000000">
      <w:r>
        <w:br w:type="page"/>
      </w:r>
    </w:p>
    <w:p w14:paraId="4A8844A7" w14:textId="77777777" w:rsidR="001F01EE" w:rsidRDefault="00000000">
      <w:pPr>
        <w:pStyle w:val="Heading2"/>
        <w:pBdr>
          <w:bottom w:val="single" w:sz="18" w:space="6" w:color="DB0934"/>
        </w:pBdr>
      </w:pPr>
      <w:r>
        <w:rPr>
          <w:rFonts w:ascii="Arial" w:eastAsia="Arial" w:hAnsi="Arial"/>
        </w:rPr>
        <w:lastRenderedPageBreak/>
        <w:t>Subject patterns: charts and plates</w:t>
      </w:r>
    </w:p>
    <w:tbl>
      <w:tblPr>
        <w:tblW w:w="5000" w:type="pct"/>
        <w:jc w:val="center"/>
        <w:tblLayout w:type="fixed"/>
        <w:tblLook w:val="04A0" w:firstRow="1" w:lastRow="0" w:firstColumn="1" w:lastColumn="0" w:noHBand="0" w:noVBand="1"/>
      </w:tblPr>
      <w:tblGrid>
        <w:gridCol w:w="3023"/>
        <w:gridCol w:w="1115"/>
        <w:gridCol w:w="6230"/>
      </w:tblGrid>
      <w:tr w:rsidR="001F01EE" w14:paraId="00441D34" w14:textId="77777777">
        <w:trPr>
          <w:cantSplit/>
          <w:tblHeader/>
          <w:jc w:val="center"/>
        </w:trPr>
        <w:tc>
          <w:tcPr>
            <w:tcW w:w="2808" w:type="dxa"/>
            <w:tcBorders>
              <w:top w:val="single" w:sz="6" w:space="0" w:color="424242"/>
              <w:left w:val="nil"/>
              <w:bottom w:val="single" w:sz="8" w:space="0" w:color="DB0934"/>
              <w:right w:val="nil"/>
            </w:tcBorders>
            <w:shd w:val="clear" w:color="auto" w:fill="424242"/>
            <w:tcMar>
              <w:top w:w="105" w:type="dxa"/>
              <w:left w:w="110" w:type="dxa"/>
              <w:bottom w:w="105" w:type="dxa"/>
              <w:right w:w="110" w:type="dxa"/>
            </w:tcMar>
          </w:tcPr>
          <w:p w14:paraId="68BEA464" w14:textId="77777777" w:rsidR="001F01EE" w:rsidRDefault="00000000">
            <w:r>
              <w:rPr>
                <w:b/>
                <w:color w:val="FFFFFF"/>
                <w:sz w:val="15"/>
              </w:rPr>
              <w:t>AREA / FINDING</w:t>
            </w:r>
          </w:p>
        </w:tc>
        <w:tc>
          <w:tcPr>
            <w:tcW w:w="1036" w:type="dxa"/>
            <w:tcBorders>
              <w:top w:val="single" w:sz="6" w:space="0" w:color="424242"/>
              <w:left w:val="nil"/>
              <w:bottom w:val="single" w:sz="8" w:space="0" w:color="DB0934"/>
              <w:right w:val="nil"/>
            </w:tcBorders>
            <w:shd w:val="clear" w:color="auto" w:fill="424242"/>
            <w:tcMar>
              <w:top w:w="105" w:type="dxa"/>
              <w:left w:w="110" w:type="dxa"/>
              <w:bottom w:w="105" w:type="dxa"/>
              <w:right w:w="110" w:type="dxa"/>
            </w:tcMar>
          </w:tcPr>
          <w:p w14:paraId="74B5757A" w14:textId="77777777" w:rsidR="001F01EE" w:rsidRDefault="00000000">
            <w:pPr>
              <w:jc w:val="center"/>
            </w:pPr>
            <w:r>
              <w:rPr>
                <w:b/>
                <w:color w:val="FFFFFF"/>
                <w:sz w:val="15"/>
              </w:rPr>
              <w:t>SHARE</w:t>
            </w:r>
          </w:p>
        </w:tc>
        <w:tc>
          <w:tcPr>
            <w:tcW w:w="5788" w:type="dxa"/>
            <w:tcBorders>
              <w:top w:val="single" w:sz="6" w:space="0" w:color="424242"/>
              <w:left w:val="nil"/>
              <w:bottom w:val="single" w:sz="8" w:space="0" w:color="DB0934"/>
              <w:right w:val="nil"/>
            </w:tcBorders>
            <w:shd w:val="clear" w:color="auto" w:fill="424242"/>
            <w:tcMar>
              <w:top w:w="105" w:type="dxa"/>
              <w:left w:w="110" w:type="dxa"/>
              <w:bottom w:w="105" w:type="dxa"/>
              <w:right w:w="110" w:type="dxa"/>
            </w:tcMar>
          </w:tcPr>
          <w:p w14:paraId="7068D1C3" w14:textId="77777777" w:rsidR="001F01EE" w:rsidRDefault="00000000">
            <w:r>
              <w:rPr>
                <w:b/>
                <w:color w:val="FFFFFF"/>
                <w:sz w:val="15"/>
              </w:rPr>
              <w:t>INTERPRETATION</w:t>
            </w:r>
          </w:p>
        </w:tc>
      </w:tr>
      <w:tr w:rsidR="001F01EE" w14:paraId="0976BC83" w14:textId="77777777">
        <w:trPr>
          <w:cantSplit/>
          <w:jc w:val="center"/>
        </w:trPr>
        <w:tc>
          <w:tcPr>
            <w:tcW w:w="2808" w:type="dxa"/>
            <w:tcBorders>
              <w:top w:val="single" w:sz="4" w:space="0" w:color="EFEFEF"/>
              <w:left w:val="nil"/>
              <w:bottom w:val="single" w:sz="4" w:space="0" w:color="EFEFEF"/>
              <w:right w:val="nil"/>
            </w:tcBorders>
            <w:shd w:val="clear" w:color="auto" w:fill="FFFFFF"/>
            <w:tcMar>
              <w:top w:w="95" w:type="dxa"/>
              <w:left w:w="110" w:type="dxa"/>
              <w:bottom w:w="95" w:type="dxa"/>
              <w:right w:w="110" w:type="dxa"/>
            </w:tcMar>
          </w:tcPr>
          <w:p w14:paraId="50211501" w14:textId="77777777" w:rsidR="001F01EE" w:rsidRDefault="00000000">
            <w:r>
              <w:rPr>
                <w:b/>
                <w:sz w:val="17"/>
              </w:rPr>
              <w:t>Charts and plates overall</w:t>
            </w:r>
          </w:p>
        </w:tc>
        <w:tc>
          <w:tcPr>
            <w:tcW w:w="1036" w:type="dxa"/>
            <w:tcBorders>
              <w:top w:val="single" w:sz="4" w:space="0" w:color="EFEFEF"/>
              <w:left w:val="nil"/>
              <w:bottom w:val="single" w:sz="4" w:space="0" w:color="EFEFEF"/>
              <w:right w:val="nil"/>
            </w:tcBorders>
            <w:shd w:val="clear" w:color="auto" w:fill="FFFFFF"/>
            <w:tcMar>
              <w:top w:w="95" w:type="dxa"/>
              <w:left w:w="110" w:type="dxa"/>
              <w:bottom w:w="95" w:type="dxa"/>
              <w:right w:w="110" w:type="dxa"/>
            </w:tcMar>
          </w:tcPr>
          <w:p w14:paraId="202F9B49" w14:textId="77777777" w:rsidR="001F01EE" w:rsidRDefault="00000000">
            <w:pPr>
              <w:jc w:val="center"/>
            </w:pPr>
            <w:r>
              <w:rPr>
                <w:b/>
                <w:color w:val="DB0934"/>
                <w:sz w:val="20"/>
              </w:rPr>
              <w:t>43%</w:t>
            </w:r>
          </w:p>
        </w:tc>
        <w:tc>
          <w:tcPr>
            <w:tcW w:w="5788" w:type="dxa"/>
            <w:tcBorders>
              <w:top w:val="single" w:sz="4" w:space="0" w:color="EFEFEF"/>
              <w:left w:val="nil"/>
              <w:bottom w:val="single" w:sz="4" w:space="0" w:color="EFEFEF"/>
              <w:right w:val="nil"/>
            </w:tcBorders>
            <w:shd w:val="clear" w:color="auto" w:fill="FFFFFF"/>
            <w:tcMar>
              <w:top w:w="95" w:type="dxa"/>
              <w:left w:w="110" w:type="dxa"/>
              <w:bottom w:w="95" w:type="dxa"/>
              <w:right w:w="110" w:type="dxa"/>
            </w:tcMar>
          </w:tcPr>
          <w:p w14:paraId="5D65122A" w14:textId="77777777" w:rsidR="001F01EE" w:rsidRDefault="00000000">
            <w:pPr>
              <w:spacing w:line="250" w:lineRule="auto"/>
            </w:pPr>
            <w:r>
              <w:rPr>
                <w:sz w:val="17"/>
              </w:rPr>
              <w:t>Charts and plates were the second most prominent subject theme mentioned across all comments. Just less than half of all student comments mentioned charts to some degree.</w:t>
            </w:r>
          </w:p>
        </w:tc>
      </w:tr>
      <w:tr w:rsidR="001F01EE" w14:paraId="04C2E82A" w14:textId="77777777">
        <w:trPr>
          <w:cantSplit/>
          <w:jc w:val="center"/>
        </w:trPr>
        <w:tc>
          <w:tcPr>
            <w:tcW w:w="2808" w:type="dxa"/>
            <w:tcBorders>
              <w:top w:val="single" w:sz="4" w:space="0" w:color="EFEFEF"/>
              <w:left w:val="nil"/>
              <w:bottom w:val="single" w:sz="4" w:space="0" w:color="EFEFEF"/>
              <w:right w:val="nil"/>
            </w:tcBorders>
            <w:shd w:val="clear" w:color="auto" w:fill="FBFBFB"/>
            <w:tcMar>
              <w:top w:w="95" w:type="dxa"/>
              <w:left w:w="110" w:type="dxa"/>
              <w:bottom w:w="95" w:type="dxa"/>
              <w:right w:w="110" w:type="dxa"/>
            </w:tcMar>
          </w:tcPr>
          <w:p w14:paraId="2B2AAC9B" w14:textId="77777777" w:rsidR="001F01EE" w:rsidRDefault="00000000">
            <w:r>
              <w:rPr>
                <w:b/>
                <w:sz w:val="17"/>
              </w:rPr>
              <w:t>IFR plates, SID/STAR, approach or route-chart references</w:t>
            </w:r>
          </w:p>
        </w:tc>
        <w:tc>
          <w:tcPr>
            <w:tcW w:w="1036" w:type="dxa"/>
            <w:tcBorders>
              <w:top w:val="single" w:sz="4" w:space="0" w:color="EFEFEF"/>
              <w:left w:val="nil"/>
              <w:bottom w:val="single" w:sz="4" w:space="0" w:color="EFEFEF"/>
              <w:right w:val="nil"/>
            </w:tcBorders>
            <w:shd w:val="clear" w:color="auto" w:fill="FBFBFB"/>
            <w:tcMar>
              <w:top w:w="95" w:type="dxa"/>
              <w:left w:w="110" w:type="dxa"/>
              <w:bottom w:w="95" w:type="dxa"/>
              <w:right w:w="110" w:type="dxa"/>
            </w:tcMar>
          </w:tcPr>
          <w:p w14:paraId="1F2C86EF" w14:textId="77777777" w:rsidR="001F01EE" w:rsidRDefault="00000000">
            <w:pPr>
              <w:jc w:val="center"/>
            </w:pPr>
            <w:r>
              <w:rPr>
                <w:b/>
                <w:color w:val="DB0934"/>
                <w:sz w:val="20"/>
              </w:rPr>
              <w:t>49%</w:t>
            </w:r>
          </w:p>
        </w:tc>
        <w:tc>
          <w:tcPr>
            <w:tcW w:w="5788" w:type="dxa"/>
            <w:tcBorders>
              <w:top w:val="single" w:sz="4" w:space="0" w:color="EFEFEF"/>
              <w:left w:val="nil"/>
              <w:bottom w:val="single" w:sz="4" w:space="0" w:color="EFEFEF"/>
              <w:right w:val="nil"/>
            </w:tcBorders>
            <w:shd w:val="clear" w:color="auto" w:fill="FBFBFB"/>
            <w:tcMar>
              <w:top w:w="95" w:type="dxa"/>
              <w:left w:w="110" w:type="dxa"/>
              <w:bottom w:w="95" w:type="dxa"/>
              <w:right w:w="110" w:type="dxa"/>
            </w:tcMar>
          </w:tcPr>
          <w:p w14:paraId="0A414363" w14:textId="77777777" w:rsidR="001F01EE" w:rsidRDefault="00000000">
            <w:pPr>
              <w:spacing w:line="250" w:lineRule="auto"/>
            </w:pPr>
            <w:r>
              <w:rPr>
                <w:sz w:val="17"/>
              </w:rPr>
              <w:t>Within chart and plate feedback, IFR and route-chart material was the most common area mentioned.</w:t>
            </w:r>
          </w:p>
        </w:tc>
      </w:tr>
      <w:tr w:rsidR="001F01EE" w14:paraId="7511A908" w14:textId="77777777">
        <w:trPr>
          <w:cantSplit/>
          <w:jc w:val="center"/>
        </w:trPr>
        <w:tc>
          <w:tcPr>
            <w:tcW w:w="2808" w:type="dxa"/>
            <w:tcBorders>
              <w:top w:val="single" w:sz="4" w:space="0" w:color="EFEFEF"/>
              <w:left w:val="nil"/>
              <w:bottom w:val="single" w:sz="4" w:space="0" w:color="EFEFEF"/>
              <w:right w:val="nil"/>
            </w:tcBorders>
            <w:shd w:val="clear" w:color="auto" w:fill="FFFFFF"/>
            <w:tcMar>
              <w:top w:w="95" w:type="dxa"/>
              <w:left w:w="110" w:type="dxa"/>
              <w:bottom w:w="95" w:type="dxa"/>
              <w:right w:w="110" w:type="dxa"/>
            </w:tcMar>
          </w:tcPr>
          <w:p w14:paraId="44513367" w14:textId="77777777" w:rsidR="001F01EE" w:rsidRDefault="00000000">
            <w:r>
              <w:rPr>
                <w:b/>
                <w:sz w:val="17"/>
              </w:rPr>
              <w:t>Groundspeed, drift, WCA, distance or radial work linked to chart use</w:t>
            </w:r>
          </w:p>
        </w:tc>
        <w:tc>
          <w:tcPr>
            <w:tcW w:w="1036" w:type="dxa"/>
            <w:tcBorders>
              <w:top w:val="single" w:sz="4" w:space="0" w:color="EFEFEF"/>
              <w:left w:val="nil"/>
              <w:bottom w:val="single" w:sz="4" w:space="0" w:color="EFEFEF"/>
              <w:right w:val="nil"/>
            </w:tcBorders>
            <w:shd w:val="clear" w:color="auto" w:fill="FFFFFF"/>
            <w:tcMar>
              <w:top w:w="95" w:type="dxa"/>
              <w:left w:w="110" w:type="dxa"/>
              <w:bottom w:w="95" w:type="dxa"/>
              <w:right w:w="110" w:type="dxa"/>
            </w:tcMar>
          </w:tcPr>
          <w:p w14:paraId="7A2DCD55" w14:textId="77777777" w:rsidR="001F01EE" w:rsidRDefault="00000000">
            <w:pPr>
              <w:jc w:val="center"/>
            </w:pPr>
            <w:r>
              <w:rPr>
                <w:b/>
                <w:color w:val="DB0934"/>
                <w:sz w:val="20"/>
              </w:rPr>
              <w:t>40%</w:t>
            </w:r>
          </w:p>
        </w:tc>
        <w:tc>
          <w:tcPr>
            <w:tcW w:w="5788" w:type="dxa"/>
            <w:tcBorders>
              <w:top w:val="single" w:sz="4" w:space="0" w:color="EFEFEF"/>
              <w:left w:val="nil"/>
              <w:bottom w:val="single" w:sz="4" w:space="0" w:color="EFEFEF"/>
              <w:right w:val="nil"/>
            </w:tcBorders>
            <w:shd w:val="clear" w:color="auto" w:fill="FFFFFF"/>
            <w:tcMar>
              <w:top w:w="95" w:type="dxa"/>
              <w:left w:w="110" w:type="dxa"/>
              <w:bottom w:w="95" w:type="dxa"/>
              <w:right w:w="110" w:type="dxa"/>
            </w:tcMar>
          </w:tcPr>
          <w:p w14:paraId="4A2B2AB1" w14:textId="77777777" w:rsidR="001F01EE" w:rsidRDefault="00000000">
            <w:pPr>
              <w:spacing w:line="250" w:lineRule="auto"/>
            </w:pPr>
            <w:r>
              <w:rPr>
                <w:sz w:val="17"/>
              </w:rPr>
              <w:t>Many chart references involved active use of the chart to calculate or derive an answer, rather than simply identifying a chart feature.</w:t>
            </w:r>
          </w:p>
        </w:tc>
      </w:tr>
      <w:tr w:rsidR="001F01EE" w14:paraId="40D063D1" w14:textId="77777777">
        <w:trPr>
          <w:cantSplit/>
          <w:jc w:val="center"/>
        </w:trPr>
        <w:tc>
          <w:tcPr>
            <w:tcW w:w="2808" w:type="dxa"/>
            <w:tcBorders>
              <w:top w:val="single" w:sz="4" w:space="0" w:color="EFEFEF"/>
              <w:left w:val="nil"/>
              <w:bottom w:val="single" w:sz="4" w:space="0" w:color="EFEFEF"/>
              <w:right w:val="nil"/>
            </w:tcBorders>
            <w:shd w:val="clear" w:color="auto" w:fill="FBFBFB"/>
            <w:tcMar>
              <w:top w:w="95" w:type="dxa"/>
              <w:left w:w="110" w:type="dxa"/>
              <w:bottom w:w="95" w:type="dxa"/>
              <w:right w:w="110" w:type="dxa"/>
            </w:tcMar>
          </w:tcPr>
          <w:p w14:paraId="418E84DA" w14:textId="77777777" w:rsidR="001F01EE" w:rsidRDefault="00000000">
            <w:r>
              <w:rPr>
                <w:b/>
                <w:sz w:val="17"/>
              </w:rPr>
              <w:t>VFR chart references</w:t>
            </w:r>
          </w:p>
        </w:tc>
        <w:tc>
          <w:tcPr>
            <w:tcW w:w="1036" w:type="dxa"/>
            <w:tcBorders>
              <w:top w:val="single" w:sz="4" w:space="0" w:color="EFEFEF"/>
              <w:left w:val="nil"/>
              <w:bottom w:val="single" w:sz="4" w:space="0" w:color="EFEFEF"/>
              <w:right w:val="nil"/>
            </w:tcBorders>
            <w:shd w:val="clear" w:color="auto" w:fill="FBFBFB"/>
            <w:tcMar>
              <w:top w:w="95" w:type="dxa"/>
              <w:left w:w="110" w:type="dxa"/>
              <w:bottom w:w="95" w:type="dxa"/>
              <w:right w:w="110" w:type="dxa"/>
            </w:tcMar>
          </w:tcPr>
          <w:p w14:paraId="138B7D3C" w14:textId="77777777" w:rsidR="001F01EE" w:rsidRDefault="00000000">
            <w:pPr>
              <w:jc w:val="center"/>
            </w:pPr>
            <w:r>
              <w:rPr>
                <w:b/>
                <w:color w:val="DB0934"/>
                <w:sz w:val="20"/>
              </w:rPr>
              <w:t>33%</w:t>
            </w:r>
          </w:p>
        </w:tc>
        <w:tc>
          <w:tcPr>
            <w:tcW w:w="5788" w:type="dxa"/>
            <w:tcBorders>
              <w:top w:val="single" w:sz="4" w:space="0" w:color="EFEFEF"/>
              <w:left w:val="nil"/>
              <w:bottom w:val="single" w:sz="4" w:space="0" w:color="EFEFEF"/>
              <w:right w:val="nil"/>
            </w:tcBorders>
            <w:shd w:val="clear" w:color="auto" w:fill="FBFBFB"/>
            <w:tcMar>
              <w:top w:w="95" w:type="dxa"/>
              <w:left w:w="110" w:type="dxa"/>
              <w:bottom w:w="95" w:type="dxa"/>
              <w:right w:w="110" w:type="dxa"/>
            </w:tcMar>
          </w:tcPr>
          <w:p w14:paraId="695018B2" w14:textId="77777777" w:rsidR="001F01EE" w:rsidRDefault="00000000">
            <w:pPr>
              <w:spacing w:line="250" w:lineRule="auto"/>
            </w:pPr>
            <w:r>
              <w:rPr>
                <w:sz w:val="17"/>
              </w:rPr>
              <w:t>VFR chart material appeared less often than IFR and route-chart material, but still formed a recurring part of the chart-related feedback.</w:t>
            </w:r>
          </w:p>
        </w:tc>
      </w:tr>
    </w:tbl>
    <w:p w14:paraId="15922C22" w14:textId="77777777" w:rsidR="001F01EE" w:rsidRDefault="001F01EE">
      <w:pPr>
        <w:spacing w:after="60"/>
      </w:pPr>
    </w:p>
    <w:p w14:paraId="23B3DAB6" w14:textId="77777777" w:rsidR="001F01EE" w:rsidRDefault="00000000">
      <w:pPr>
        <w:pStyle w:val="Heading2"/>
        <w:pBdr>
          <w:bottom w:val="single" w:sz="18" w:space="6" w:color="DB0934"/>
        </w:pBdr>
      </w:pPr>
      <w:r>
        <w:rPr>
          <w:rFonts w:ascii="Arial" w:eastAsia="Arial" w:hAnsi="Arial"/>
        </w:rPr>
        <w:t>Honourable mentions</w:t>
      </w:r>
    </w:p>
    <w:tbl>
      <w:tblPr>
        <w:tblW w:w="5000" w:type="pct"/>
        <w:jc w:val="center"/>
        <w:tblLayout w:type="fixed"/>
        <w:tblLook w:val="04A0" w:firstRow="1" w:lastRow="0" w:firstColumn="1" w:lastColumn="0" w:noHBand="0" w:noVBand="1"/>
      </w:tblPr>
      <w:tblGrid>
        <w:gridCol w:w="3023"/>
        <w:gridCol w:w="1115"/>
        <w:gridCol w:w="6230"/>
      </w:tblGrid>
      <w:tr w:rsidR="001F01EE" w14:paraId="6654BFC3" w14:textId="77777777">
        <w:trPr>
          <w:cantSplit/>
          <w:tblHeader/>
          <w:jc w:val="center"/>
        </w:trPr>
        <w:tc>
          <w:tcPr>
            <w:tcW w:w="2808" w:type="dxa"/>
            <w:tcBorders>
              <w:top w:val="single" w:sz="6" w:space="0" w:color="424242"/>
              <w:left w:val="nil"/>
              <w:bottom w:val="single" w:sz="8" w:space="0" w:color="DB0934"/>
              <w:right w:val="nil"/>
            </w:tcBorders>
            <w:shd w:val="clear" w:color="auto" w:fill="424242"/>
            <w:tcMar>
              <w:top w:w="105" w:type="dxa"/>
              <w:left w:w="110" w:type="dxa"/>
              <w:bottom w:w="105" w:type="dxa"/>
              <w:right w:w="110" w:type="dxa"/>
            </w:tcMar>
          </w:tcPr>
          <w:p w14:paraId="45DA4119" w14:textId="77777777" w:rsidR="001F01EE" w:rsidRDefault="00000000">
            <w:r>
              <w:rPr>
                <w:b/>
                <w:color w:val="FFFFFF"/>
                <w:sz w:val="15"/>
              </w:rPr>
              <w:t>AREA / FINDING</w:t>
            </w:r>
          </w:p>
        </w:tc>
        <w:tc>
          <w:tcPr>
            <w:tcW w:w="1036" w:type="dxa"/>
            <w:tcBorders>
              <w:top w:val="single" w:sz="6" w:space="0" w:color="424242"/>
              <w:left w:val="nil"/>
              <w:bottom w:val="single" w:sz="8" w:space="0" w:color="DB0934"/>
              <w:right w:val="nil"/>
            </w:tcBorders>
            <w:shd w:val="clear" w:color="auto" w:fill="424242"/>
            <w:tcMar>
              <w:top w:w="105" w:type="dxa"/>
              <w:left w:w="110" w:type="dxa"/>
              <w:bottom w:w="105" w:type="dxa"/>
              <w:right w:w="110" w:type="dxa"/>
            </w:tcMar>
          </w:tcPr>
          <w:p w14:paraId="610032C6" w14:textId="77777777" w:rsidR="001F01EE" w:rsidRDefault="00000000">
            <w:pPr>
              <w:jc w:val="center"/>
            </w:pPr>
            <w:r>
              <w:rPr>
                <w:b/>
                <w:color w:val="FFFFFF"/>
                <w:sz w:val="15"/>
              </w:rPr>
              <w:t>SHARE</w:t>
            </w:r>
          </w:p>
        </w:tc>
        <w:tc>
          <w:tcPr>
            <w:tcW w:w="5788" w:type="dxa"/>
            <w:tcBorders>
              <w:top w:val="single" w:sz="6" w:space="0" w:color="424242"/>
              <w:left w:val="nil"/>
              <w:bottom w:val="single" w:sz="8" w:space="0" w:color="DB0934"/>
              <w:right w:val="nil"/>
            </w:tcBorders>
            <w:shd w:val="clear" w:color="auto" w:fill="424242"/>
            <w:tcMar>
              <w:top w:w="105" w:type="dxa"/>
              <w:left w:w="110" w:type="dxa"/>
              <w:bottom w:w="105" w:type="dxa"/>
              <w:right w:w="110" w:type="dxa"/>
            </w:tcMar>
          </w:tcPr>
          <w:p w14:paraId="5FA8B5D6" w14:textId="77777777" w:rsidR="001F01EE" w:rsidRDefault="00000000">
            <w:r>
              <w:rPr>
                <w:b/>
                <w:color w:val="FFFFFF"/>
                <w:sz w:val="15"/>
              </w:rPr>
              <w:t>INTERPRETATION</w:t>
            </w:r>
          </w:p>
        </w:tc>
      </w:tr>
      <w:tr w:rsidR="001F01EE" w14:paraId="32DC85CE" w14:textId="77777777">
        <w:trPr>
          <w:cantSplit/>
          <w:jc w:val="center"/>
        </w:trPr>
        <w:tc>
          <w:tcPr>
            <w:tcW w:w="2808" w:type="dxa"/>
            <w:tcBorders>
              <w:top w:val="single" w:sz="4" w:space="0" w:color="EFEFEF"/>
              <w:left w:val="nil"/>
              <w:bottom w:val="single" w:sz="4" w:space="0" w:color="EFEFEF"/>
              <w:right w:val="nil"/>
            </w:tcBorders>
            <w:shd w:val="clear" w:color="auto" w:fill="FFFFFF"/>
            <w:tcMar>
              <w:top w:w="95" w:type="dxa"/>
              <w:left w:w="110" w:type="dxa"/>
              <w:bottom w:w="95" w:type="dxa"/>
              <w:right w:w="110" w:type="dxa"/>
            </w:tcMar>
          </w:tcPr>
          <w:p w14:paraId="5C4D80B1" w14:textId="77777777" w:rsidR="001F01EE" w:rsidRDefault="00000000">
            <w:r>
              <w:rPr>
                <w:b/>
                <w:sz w:val="17"/>
              </w:rPr>
              <w:t>Tricky or confusing wording</w:t>
            </w:r>
          </w:p>
        </w:tc>
        <w:tc>
          <w:tcPr>
            <w:tcW w:w="1036" w:type="dxa"/>
            <w:tcBorders>
              <w:top w:val="single" w:sz="4" w:space="0" w:color="EFEFEF"/>
              <w:left w:val="nil"/>
              <w:bottom w:val="single" w:sz="4" w:space="0" w:color="EFEFEF"/>
              <w:right w:val="nil"/>
            </w:tcBorders>
            <w:shd w:val="clear" w:color="auto" w:fill="FFFFFF"/>
            <w:tcMar>
              <w:top w:w="95" w:type="dxa"/>
              <w:left w:w="110" w:type="dxa"/>
              <w:bottom w:w="95" w:type="dxa"/>
              <w:right w:w="110" w:type="dxa"/>
            </w:tcMar>
          </w:tcPr>
          <w:p w14:paraId="244EF2E0" w14:textId="77777777" w:rsidR="001F01EE" w:rsidRDefault="00000000">
            <w:pPr>
              <w:jc w:val="center"/>
            </w:pPr>
            <w:r>
              <w:rPr>
                <w:b/>
                <w:color w:val="DB0934"/>
                <w:sz w:val="20"/>
              </w:rPr>
              <w:t>24%</w:t>
            </w:r>
          </w:p>
        </w:tc>
        <w:tc>
          <w:tcPr>
            <w:tcW w:w="5788" w:type="dxa"/>
            <w:tcBorders>
              <w:top w:val="single" w:sz="4" w:space="0" w:color="EFEFEF"/>
              <w:left w:val="nil"/>
              <w:bottom w:val="single" w:sz="4" w:space="0" w:color="EFEFEF"/>
              <w:right w:val="nil"/>
            </w:tcBorders>
            <w:shd w:val="clear" w:color="auto" w:fill="FFFFFF"/>
            <w:tcMar>
              <w:top w:w="95" w:type="dxa"/>
              <w:left w:w="110" w:type="dxa"/>
              <w:bottom w:w="95" w:type="dxa"/>
              <w:right w:w="110" w:type="dxa"/>
            </w:tcMar>
          </w:tcPr>
          <w:p w14:paraId="03C8366C" w14:textId="77777777" w:rsidR="001F01EE" w:rsidRDefault="00000000">
            <w:pPr>
              <w:spacing w:line="250" w:lineRule="auto"/>
            </w:pPr>
            <w:r>
              <w:rPr>
                <w:sz w:val="17"/>
              </w:rPr>
              <w:t>Many candidates commented on wording that was awkward, confusing or easy to misread. This supports the broader point that familiarity with content did not always remove interpretation difficulty.</w:t>
            </w:r>
          </w:p>
        </w:tc>
      </w:tr>
      <w:tr w:rsidR="001F01EE" w14:paraId="229BD261" w14:textId="77777777">
        <w:trPr>
          <w:cantSplit/>
          <w:jc w:val="center"/>
        </w:trPr>
        <w:tc>
          <w:tcPr>
            <w:tcW w:w="2808" w:type="dxa"/>
            <w:tcBorders>
              <w:top w:val="single" w:sz="4" w:space="0" w:color="EFEFEF"/>
              <w:left w:val="nil"/>
              <w:bottom w:val="single" w:sz="4" w:space="0" w:color="EFEFEF"/>
              <w:right w:val="nil"/>
            </w:tcBorders>
            <w:shd w:val="clear" w:color="auto" w:fill="FBFBFB"/>
            <w:tcMar>
              <w:top w:w="95" w:type="dxa"/>
              <w:left w:w="110" w:type="dxa"/>
              <w:bottom w:w="95" w:type="dxa"/>
              <w:right w:w="110" w:type="dxa"/>
            </w:tcMar>
          </w:tcPr>
          <w:p w14:paraId="51060EFF" w14:textId="77777777" w:rsidR="001F01EE" w:rsidRDefault="00000000">
            <w:r>
              <w:rPr>
                <w:b/>
                <w:sz w:val="17"/>
              </w:rPr>
              <w:t>Type-in-heavy format</w:t>
            </w:r>
          </w:p>
        </w:tc>
        <w:tc>
          <w:tcPr>
            <w:tcW w:w="1036" w:type="dxa"/>
            <w:tcBorders>
              <w:top w:val="single" w:sz="4" w:space="0" w:color="EFEFEF"/>
              <w:left w:val="nil"/>
              <w:bottom w:val="single" w:sz="4" w:space="0" w:color="EFEFEF"/>
              <w:right w:val="nil"/>
            </w:tcBorders>
            <w:shd w:val="clear" w:color="auto" w:fill="FBFBFB"/>
            <w:tcMar>
              <w:top w:w="95" w:type="dxa"/>
              <w:left w:w="110" w:type="dxa"/>
              <w:bottom w:w="95" w:type="dxa"/>
              <w:right w:w="110" w:type="dxa"/>
            </w:tcMar>
          </w:tcPr>
          <w:p w14:paraId="707A1A56" w14:textId="77777777" w:rsidR="001F01EE" w:rsidRDefault="00000000">
            <w:pPr>
              <w:jc w:val="center"/>
            </w:pPr>
            <w:r>
              <w:rPr>
                <w:b/>
                <w:color w:val="DB0934"/>
                <w:sz w:val="20"/>
              </w:rPr>
              <w:t>12%</w:t>
            </w:r>
          </w:p>
        </w:tc>
        <w:tc>
          <w:tcPr>
            <w:tcW w:w="5788" w:type="dxa"/>
            <w:tcBorders>
              <w:top w:val="single" w:sz="4" w:space="0" w:color="EFEFEF"/>
              <w:left w:val="nil"/>
              <w:bottom w:val="single" w:sz="4" w:space="0" w:color="EFEFEF"/>
              <w:right w:val="nil"/>
            </w:tcBorders>
            <w:shd w:val="clear" w:color="auto" w:fill="FBFBFB"/>
            <w:tcMar>
              <w:top w:w="95" w:type="dxa"/>
              <w:left w:w="110" w:type="dxa"/>
              <w:bottom w:w="95" w:type="dxa"/>
              <w:right w:w="110" w:type="dxa"/>
            </w:tcMar>
          </w:tcPr>
          <w:p w14:paraId="17513CF2" w14:textId="77777777" w:rsidR="001F01EE" w:rsidRDefault="00000000">
            <w:pPr>
              <w:spacing w:line="250" w:lineRule="auto"/>
            </w:pPr>
            <w:r>
              <w:rPr>
                <w:sz w:val="17"/>
              </w:rPr>
              <w:t>This appeared as a smaller recurring format issue and applied to UK CAA feedback only.</w:t>
            </w:r>
          </w:p>
        </w:tc>
      </w:tr>
      <w:tr w:rsidR="001F01EE" w14:paraId="39445123" w14:textId="77777777">
        <w:trPr>
          <w:cantSplit/>
          <w:jc w:val="center"/>
        </w:trPr>
        <w:tc>
          <w:tcPr>
            <w:tcW w:w="2808" w:type="dxa"/>
            <w:tcBorders>
              <w:top w:val="single" w:sz="4" w:space="0" w:color="EFEFEF"/>
              <w:left w:val="nil"/>
              <w:bottom w:val="single" w:sz="4" w:space="0" w:color="EFEFEF"/>
              <w:right w:val="nil"/>
            </w:tcBorders>
            <w:shd w:val="clear" w:color="auto" w:fill="FFFFFF"/>
            <w:tcMar>
              <w:top w:w="95" w:type="dxa"/>
              <w:left w:w="110" w:type="dxa"/>
              <w:bottom w:w="95" w:type="dxa"/>
              <w:right w:w="110" w:type="dxa"/>
            </w:tcMar>
          </w:tcPr>
          <w:p w14:paraId="4EE28B22" w14:textId="77777777" w:rsidR="001F01EE" w:rsidRDefault="00000000">
            <w:r>
              <w:rPr>
                <w:b/>
                <w:sz w:val="17"/>
              </w:rPr>
              <w:t>GNSS/GPS/PBN references</w:t>
            </w:r>
          </w:p>
        </w:tc>
        <w:tc>
          <w:tcPr>
            <w:tcW w:w="1036" w:type="dxa"/>
            <w:tcBorders>
              <w:top w:val="single" w:sz="4" w:space="0" w:color="EFEFEF"/>
              <w:left w:val="nil"/>
              <w:bottom w:val="single" w:sz="4" w:space="0" w:color="EFEFEF"/>
              <w:right w:val="nil"/>
            </w:tcBorders>
            <w:shd w:val="clear" w:color="auto" w:fill="FFFFFF"/>
            <w:tcMar>
              <w:top w:w="95" w:type="dxa"/>
              <w:left w:w="110" w:type="dxa"/>
              <w:bottom w:w="95" w:type="dxa"/>
              <w:right w:w="110" w:type="dxa"/>
            </w:tcMar>
          </w:tcPr>
          <w:p w14:paraId="64008485" w14:textId="77777777" w:rsidR="001F01EE" w:rsidRDefault="00000000">
            <w:pPr>
              <w:jc w:val="center"/>
            </w:pPr>
            <w:r>
              <w:rPr>
                <w:b/>
                <w:color w:val="DB0934"/>
                <w:sz w:val="20"/>
              </w:rPr>
              <w:t>10%</w:t>
            </w:r>
          </w:p>
        </w:tc>
        <w:tc>
          <w:tcPr>
            <w:tcW w:w="5788" w:type="dxa"/>
            <w:tcBorders>
              <w:top w:val="single" w:sz="4" w:space="0" w:color="EFEFEF"/>
              <w:left w:val="nil"/>
              <w:bottom w:val="single" w:sz="4" w:space="0" w:color="EFEFEF"/>
              <w:right w:val="nil"/>
            </w:tcBorders>
            <w:shd w:val="clear" w:color="auto" w:fill="FFFFFF"/>
            <w:tcMar>
              <w:top w:w="95" w:type="dxa"/>
              <w:left w:w="110" w:type="dxa"/>
              <w:bottom w:w="95" w:type="dxa"/>
              <w:right w:w="110" w:type="dxa"/>
            </w:tcMar>
          </w:tcPr>
          <w:p w14:paraId="02E8D51C" w14:textId="77777777" w:rsidR="001F01EE" w:rsidRDefault="00000000">
            <w:pPr>
              <w:spacing w:line="250" w:lineRule="auto"/>
            </w:pPr>
            <w:r>
              <w:rPr>
                <w:sz w:val="17"/>
              </w:rPr>
              <w:t>These were recurring minor mentions rather than a leading theme.</w:t>
            </w:r>
          </w:p>
        </w:tc>
      </w:tr>
      <w:tr w:rsidR="001F01EE" w14:paraId="6FA58A63" w14:textId="77777777">
        <w:trPr>
          <w:cantSplit/>
          <w:jc w:val="center"/>
        </w:trPr>
        <w:tc>
          <w:tcPr>
            <w:tcW w:w="2808" w:type="dxa"/>
            <w:tcBorders>
              <w:top w:val="single" w:sz="4" w:space="0" w:color="EFEFEF"/>
              <w:left w:val="nil"/>
              <w:bottom w:val="single" w:sz="4" w:space="0" w:color="EFEFEF"/>
              <w:right w:val="nil"/>
            </w:tcBorders>
            <w:shd w:val="clear" w:color="auto" w:fill="FBFBFB"/>
            <w:tcMar>
              <w:top w:w="95" w:type="dxa"/>
              <w:left w:w="110" w:type="dxa"/>
              <w:bottom w:w="95" w:type="dxa"/>
              <w:right w:w="110" w:type="dxa"/>
            </w:tcMar>
          </w:tcPr>
          <w:p w14:paraId="0CE98DE0" w14:textId="77777777" w:rsidR="001F01EE" w:rsidRDefault="00000000">
            <w:r>
              <w:rPr>
                <w:b/>
                <w:sz w:val="17"/>
              </w:rPr>
              <w:t>NOTAM references</w:t>
            </w:r>
          </w:p>
        </w:tc>
        <w:tc>
          <w:tcPr>
            <w:tcW w:w="1036" w:type="dxa"/>
            <w:tcBorders>
              <w:top w:val="single" w:sz="4" w:space="0" w:color="EFEFEF"/>
              <w:left w:val="nil"/>
              <w:bottom w:val="single" w:sz="4" w:space="0" w:color="EFEFEF"/>
              <w:right w:val="nil"/>
            </w:tcBorders>
            <w:shd w:val="clear" w:color="auto" w:fill="FBFBFB"/>
            <w:tcMar>
              <w:top w:w="95" w:type="dxa"/>
              <w:left w:w="110" w:type="dxa"/>
              <w:bottom w:w="95" w:type="dxa"/>
              <w:right w:w="110" w:type="dxa"/>
            </w:tcMar>
          </w:tcPr>
          <w:p w14:paraId="76F492E7" w14:textId="77777777" w:rsidR="001F01EE" w:rsidRDefault="00000000">
            <w:pPr>
              <w:jc w:val="center"/>
            </w:pPr>
            <w:r>
              <w:rPr>
                <w:b/>
                <w:color w:val="DB0934"/>
                <w:sz w:val="20"/>
              </w:rPr>
              <w:t>8%</w:t>
            </w:r>
          </w:p>
        </w:tc>
        <w:tc>
          <w:tcPr>
            <w:tcW w:w="5788" w:type="dxa"/>
            <w:tcBorders>
              <w:top w:val="single" w:sz="4" w:space="0" w:color="EFEFEF"/>
              <w:left w:val="nil"/>
              <w:bottom w:val="single" w:sz="4" w:space="0" w:color="EFEFEF"/>
              <w:right w:val="nil"/>
            </w:tcBorders>
            <w:shd w:val="clear" w:color="auto" w:fill="FBFBFB"/>
            <w:tcMar>
              <w:top w:w="95" w:type="dxa"/>
              <w:left w:w="110" w:type="dxa"/>
              <w:bottom w:w="95" w:type="dxa"/>
              <w:right w:w="110" w:type="dxa"/>
            </w:tcMar>
          </w:tcPr>
          <w:p w14:paraId="1FB4A187" w14:textId="77777777" w:rsidR="001F01EE" w:rsidRDefault="00000000">
            <w:pPr>
              <w:spacing w:line="250" w:lineRule="auto"/>
            </w:pPr>
            <w:r>
              <w:rPr>
                <w:sz w:val="17"/>
              </w:rPr>
              <w:t>NOTAM references appeared as a minor recurring observation. The low percentage should not be read as absence from exams, only limited mention in this feedback set.</w:t>
            </w:r>
          </w:p>
        </w:tc>
      </w:tr>
    </w:tbl>
    <w:p w14:paraId="3CBAE9B5" w14:textId="77777777" w:rsidR="001F01EE" w:rsidRDefault="001F01EE">
      <w:pPr>
        <w:spacing w:after="60"/>
      </w:pPr>
    </w:p>
    <w:tbl>
      <w:tblPr>
        <w:tblW w:w="5000" w:type="pct"/>
        <w:jc w:val="center"/>
        <w:tblLook w:val="04A0" w:firstRow="1" w:lastRow="0" w:firstColumn="1" w:lastColumn="0" w:noHBand="0" w:noVBand="1"/>
      </w:tblPr>
      <w:tblGrid>
        <w:gridCol w:w="10528"/>
      </w:tblGrid>
      <w:tr w:rsidR="001F01EE" w14:paraId="072B0917" w14:textId="77777777">
        <w:trPr>
          <w:jc w:val="center"/>
        </w:trPr>
        <w:tc>
          <w:tcPr>
            <w:tcW w:w="10148" w:type="dxa"/>
            <w:tcBorders>
              <w:top w:val="single" w:sz="6" w:space="0" w:color="E6E6E6"/>
              <w:left w:val="single" w:sz="24" w:space="0" w:color="DB0934"/>
              <w:bottom w:val="single" w:sz="6" w:space="0" w:color="E6E6E6"/>
              <w:right w:val="single" w:sz="6" w:space="0" w:color="E6E6E6"/>
            </w:tcBorders>
            <w:shd w:val="clear" w:color="auto" w:fill="FAFAFA"/>
            <w:tcMar>
              <w:top w:w="150" w:type="dxa"/>
              <w:left w:w="190" w:type="dxa"/>
              <w:bottom w:w="150" w:type="dxa"/>
              <w:right w:w="190" w:type="dxa"/>
            </w:tcMar>
          </w:tcPr>
          <w:p w14:paraId="69A49467" w14:textId="77777777" w:rsidR="001F01EE" w:rsidRDefault="00000000">
            <w:pPr>
              <w:spacing w:after="80"/>
            </w:pPr>
            <w:r>
              <w:rPr>
                <w:b/>
                <w:color w:val="DB0934"/>
                <w:sz w:val="20"/>
              </w:rPr>
              <w:t>Data note</w:t>
            </w:r>
          </w:p>
          <w:p w14:paraId="69DE107A" w14:textId="77777777" w:rsidR="001F01EE" w:rsidRDefault="00000000">
            <w:pPr>
              <w:spacing w:after="80" w:line="252" w:lineRule="auto"/>
            </w:pPr>
            <w:r>
              <w:rPr>
                <w:sz w:val="17"/>
              </w:rPr>
              <w:t>The source data is free-text feedback rather than a fixed survey. Percentages show what candidates chose to mention. A low percentage does not mean a topic was absent from exams, and one comment may contribute to more than one theme.</w:t>
            </w:r>
          </w:p>
        </w:tc>
      </w:tr>
    </w:tbl>
    <w:p w14:paraId="190878FF" w14:textId="77777777" w:rsidR="00487E71" w:rsidRDefault="00487E71"/>
    <w:sectPr w:rsidR="00487E71" w:rsidSect="00034616">
      <w:headerReference w:type="default" r:id="rId9"/>
      <w:footerReference w:type="default" r:id="rId10"/>
      <w:headerReference w:type="first" r:id="rId11"/>
      <w:footerReference w:type="first" r:id="rId12"/>
      <w:pgSz w:w="11906" w:h="16838"/>
      <w:pgMar w:top="879" w:right="879" w:bottom="822" w:left="879" w:header="312" w:footer="31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20023" w14:textId="77777777" w:rsidR="00487E71" w:rsidRDefault="00487E71">
      <w:pPr>
        <w:spacing w:after="0" w:line="240" w:lineRule="auto"/>
      </w:pPr>
      <w:r>
        <w:separator/>
      </w:r>
    </w:p>
  </w:endnote>
  <w:endnote w:type="continuationSeparator" w:id="0">
    <w:p w14:paraId="267BDA75" w14:textId="77777777" w:rsidR="00487E71" w:rsidRDefault="00487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7487D" w14:textId="77777777" w:rsidR="001F01EE" w:rsidRDefault="00000000">
    <w:pPr>
      <w:pStyle w:val="Footer"/>
      <w:jc w:val="center"/>
    </w:pPr>
    <w:r>
      <w:rPr>
        <w:color w:val="777777"/>
        <w:sz w:val="16"/>
      </w:rPr>
      <w:t xml:space="preserve">Descriptive analysis only | Bristol </w:t>
    </w:r>
    <w:proofErr w:type="spellStart"/>
    <w:r>
      <w:rPr>
        <w:color w:val="777777"/>
        <w:sz w:val="16"/>
      </w:rPr>
      <w:t>Groundschool</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D9A67" w14:textId="77777777" w:rsidR="001F01EE" w:rsidRDefault="00000000">
    <w:pPr>
      <w:pStyle w:val="Footer"/>
      <w:jc w:val="center"/>
    </w:pPr>
    <w:r>
      <w:rPr>
        <w:color w:val="777777"/>
        <w:sz w:val="16"/>
      </w:rPr>
      <w:t xml:space="preserve">Descriptive analysis only | Bristol </w:t>
    </w:r>
    <w:proofErr w:type="spellStart"/>
    <w:r>
      <w:rPr>
        <w:color w:val="777777"/>
        <w:sz w:val="16"/>
      </w:rPr>
      <w:t>Groundschool</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26E86" w14:textId="77777777" w:rsidR="00487E71" w:rsidRDefault="00487E71">
      <w:pPr>
        <w:spacing w:after="0" w:line="240" w:lineRule="auto"/>
      </w:pPr>
      <w:r>
        <w:separator/>
      </w:r>
    </w:p>
  </w:footnote>
  <w:footnote w:type="continuationSeparator" w:id="0">
    <w:p w14:paraId="38B721D8" w14:textId="77777777" w:rsidR="00487E71" w:rsidRDefault="00487E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F82C3" w14:textId="77777777" w:rsidR="001F01EE" w:rsidRDefault="001F01EE">
    <w:pPr>
      <w:pStyle w:val="Header"/>
    </w:pPr>
  </w:p>
  <w:tbl>
    <w:tblPr>
      <w:tblW w:w="5000" w:type="pct"/>
      <w:jc w:val="center"/>
      <w:tblLayout w:type="fixed"/>
      <w:tblLook w:val="04A0" w:firstRow="1" w:lastRow="0" w:firstColumn="1" w:lastColumn="0" w:noHBand="0" w:noVBand="1"/>
    </w:tblPr>
    <w:tblGrid>
      <w:gridCol w:w="3787"/>
      <w:gridCol w:w="6361"/>
    </w:tblGrid>
    <w:tr w:rsidR="001F01EE" w14:paraId="6C31BA02" w14:textId="77777777">
      <w:trPr>
        <w:jc w:val="center"/>
      </w:trPr>
      <w:tc>
        <w:tcPr>
          <w:tcW w:w="3600" w:type="dxa"/>
          <w:tcBorders>
            <w:top w:val="nil"/>
            <w:left w:val="nil"/>
            <w:bottom w:val="nil"/>
            <w:right w:val="nil"/>
          </w:tcBorders>
          <w:tcMar>
            <w:top w:w="0" w:type="dxa"/>
            <w:left w:w="0" w:type="dxa"/>
            <w:bottom w:w="0" w:type="dxa"/>
            <w:right w:w="0" w:type="dxa"/>
          </w:tcMar>
        </w:tcPr>
        <w:p w14:paraId="74A84017" w14:textId="77777777" w:rsidR="001F01EE" w:rsidRDefault="00000000">
          <w:r>
            <w:rPr>
              <w:noProof/>
            </w:rPr>
            <w:drawing>
              <wp:inline distT="0" distB="0" distL="0" distR="0" wp14:anchorId="336CC0F2" wp14:editId="6E32D7D5">
                <wp:extent cx="1143000" cy="685800"/>
                <wp:effectExtent l="0" t="0" r="0" b="0"/>
                <wp:docPr id="1238505306" name="Picture 1238505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s-logo-name-primary.png"/>
                        <pic:cNvPicPr/>
                      </pic:nvPicPr>
                      <pic:blipFill>
                        <a:blip r:embed="rId1"/>
                        <a:stretch>
                          <a:fillRect/>
                        </a:stretch>
                      </pic:blipFill>
                      <pic:spPr>
                        <a:xfrm>
                          <a:off x="0" y="0"/>
                          <a:ext cx="1143000" cy="685800"/>
                        </a:xfrm>
                        <a:prstGeom prst="rect">
                          <a:avLst/>
                        </a:prstGeom>
                      </pic:spPr>
                    </pic:pic>
                  </a:graphicData>
                </a:graphic>
              </wp:inline>
            </w:drawing>
          </w:r>
        </w:p>
      </w:tc>
      <w:tc>
        <w:tcPr>
          <w:tcW w:w="6048" w:type="dxa"/>
          <w:tcBorders>
            <w:top w:val="nil"/>
            <w:left w:val="nil"/>
            <w:bottom w:val="nil"/>
            <w:right w:val="nil"/>
          </w:tcBorders>
          <w:tcMar>
            <w:top w:w="0" w:type="dxa"/>
            <w:left w:w="0" w:type="dxa"/>
            <w:bottom w:w="0" w:type="dxa"/>
            <w:right w:w="0" w:type="dxa"/>
          </w:tcMar>
        </w:tcPr>
        <w:p w14:paraId="75AF969B" w14:textId="77777777" w:rsidR="001F01EE" w:rsidRDefault="00000000">
          <w:pPr>
            <w:jc w:val="right"/>
          </w:pPr>
          <w:r>
            <w:rPr>
              <w:sz w:val="16"/>
            </w:rPr>
            <w:t>ATPL Flight Planning Exam Feedback Summary</w:t>
          </w: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C3420" w14:textId="77777777" w:rsidR="001F01EE" w:rsidRDefault="001F01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38367802">
    <w:abstractNumId w:val="8"/>
  </w:num>
  <w:num w:numId="2" w16cid:durableId="222330745">
    <w:abstractNumId w:val="6"/>
  </w:num>
  <w:num w:numId="3" w16cid:durableId="1957326836">
    <w:abstractNumId w:val="5"/>
  </w:num>
  <w:num w:numId="4" w16cid:durableId="2144618582">
    <w:abstractNumId w:val="4"/>
  </w:num>
  <w:num w:numId="5" w16cid:durableId="1967734918">
    <w:abstractNumId w:val="7"/>
  </w:num>
  <w:num w:numId="6" w16cid:durableId="1696888225">
    <w:abstractNumId w:val="3"/>
  </w:num>
  <w:num w:numId="7" w16cid:durableId="70466147">
    <w:abstractNumId w:val="2"/>
  </w:num>
  <w:num w:numId="8" w16cid:durableId="1718894372">
    <w:abstractNumId w:val="1"/>
  </w:num>
  <w:num w:numId="9" w16cid:durableId="1831672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F01EE"/>
    <w:rsid w:val="0029639D"/>
    <w:rsid w:val="00326F90"/>
    <w:rsid w:val="00377EB0"/>
    <w:rsid w:val="00487E71"/>
    <w:rsid w:val="00AA1D8D"/>
    <w:rsid w:val="00AE01E4"/>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C07920"/>
  <w14:defaultImageDpi w14:val="300"/>
  <w15:docId w15:val="{F5523121-A8B2-4FA5-993B-50EA62A6F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line="259" w:lineRule="auto"/>
    </w:pPr>
    <w:rPr>
      <w:rFonts w:ascii="Arial" w:eastAsia="Arial" w:hAnsi="Arial"/>
      <w:color w:val="424242"/>
      <w:sz w:val="19"/>
    </w:rPr>
  </w:style>
  <w:style w:type="paragraph" w:styleId="Heading1">
    <w:name w:val="heading 1"/>
    <w:basedOn w:val="Normal"/>
    <w:next w:val="Normal"/>
    <w:link w:val="Heading1Char"/>
    <w:uiPriority w:val="9"/>
    <w:qFormat/>
    <w:rsid w:val="00FC693F"/>
    <w:pPr>
      <w:keepNext/>
      <w:keepLines/>
      <w:spacing w:before="480"/>
      <w:outlineLvl w:val="0"/>
    </w:pPr>
    <w:rPr>
      <w:rFonts w:asciiTheme="majorHAnsi" w:eastAsiaTheme="majorEastAsia" w:hAnsiTheme="majorHAnsi" w:cstheme="majorBidi"/>
      <w:b/>
      <w:bCs/>
      <w:color w:val="DB0934"/>
      <w:sz w:val="30"/>
      <w:szCs w:val="28"/>
    </w:rPr>
  </w:style>
  <w:style w:type="paragraph" w:styleId="Heading2">
    <w:name w:val="heading 2"/>
    <w:basedOn w:val="Normal"/>
    <w:next w:val="Normal"/>
    <w:link w:val="Heading2Char"/>
    <w:uiPriority w:val="9"/>
    <w:unhideWhenUsed/>
    <w:qFormat/>
    <w:rsid w:val="00FC693F"/>
    <w:pPr>
      <w:keepNext/>
      <w:keepLines/>
      <w:spacing w:before="20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DB093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spacing w:val="5"/>
      <w:kern w:val="28"/>
      <w:sz w:val="5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1162</Words>
  <Characters>6579</Characters>
  <Application>Microsoft Office Word</Application>
  <DocSecurity>0</DocSecurity>
  <Lines>219</Lines>
  <Paragraphs>161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7580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Nicholas Lapham</cp:lastModifiedBy>
  <cp:revision>2</cp:revision>
  <dcterms:created xsi:type="dcterms:W3CDTF">2013-12-23T23:15:00Z</dcterms:created>
  <dcterms:modified xsi:type="dcterms:W3CDTF">2026-06-29T13:34:00Z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92fb07f4-0a4f-4fd0-a0d0-c03539342f4f</vt:lpwstr>
  </property>
</Properties>
</file>